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DAF3" w14:textId="2B416F48" w:rsidR="006E4712" w:rsidRDefault="00B82904" w:rsidP="009E4304">
      <w:pPr>
        <w:spacing w:after="120" w:line="240" w:lineRule="auto"/>
        <w:rPr>
          <w:sz w:val="20"/>
          <w:szCs w:val="20"/>
        </w:rPr>
      </w:pPr>
      <w:r w:rsidRPr="009E4304">
        <w:rPr>
          <w:sz w:val="20"/>
          <w:szCs w:val="20"/>
        </w:rPr>
        <w:t xml:space="preserve">Załącznik </w:t>
      </w:r>
      <w:r w:rsidR="00D532D7" w:rsidRPr="009E4304">
        <w:rPr>
          <w:sz w:val="20"/>
          <w:szCs w:val="20"/>
        </w:rPr>
        <w:t>2</w:t>
      </w:r>
      <w:r w:rsidR="006E4712" w:rsidRPr="009E4304">
        <w:rPr>
          <w:sz w:val="20"/>
          <w:szCs w:val="20"/>
        </w:rPr>
        <w:t xml:space="preserve"> </w:t>
      </w:r>
      <w:r w:rsidR="000741D9" w:rsidRPr="009E4304">
        <w:rPr>
          <w:sz w:val="20"/>
          <w:szCs w:val="20"/>
        </w:rPr>
        <w:t xml:space="preserve">do </w:t>
      </w:r>
      <w:r w:rsidR="006E4712" w:rsidRPr="009E4304">
        <w:rPr>
          <w:sz w:val="20"/>
          <w:szCs w:val="20"/>
        </w:rPr>
        <w:t>„</w:t>
      </w:r>
      <w:r w:rsidR="00A0693F" w:rsidRPr="009E4304">
        <w:rPr>
          <w:sz w:val="20"/>
          <w:szCs w:val="20"/>
        </w:rPr>
        <w:t>Ogłoszenia o konkursie CTT CITTRU w ramach działań ukierunkowanych na tworzenie innowacji oraz na komercjalizację wyników badań naukowych</w:t>
      </w:r>
      <w:r w:rsidR="006E4712" w:rsidRPr="009E4304">
        <w:rPr>
          <w:sz w:val="20"/>
          <w:szCs w:val="20"/>
        </w:rPr>
        <w:t>”</w:t>
      </w:r>
    </w:p>
    <w:p w14:paraId="0856EF82" w14:textId="77777777" w:rsidR="009E4304" w:rsidRPr="009E4304" w:rsidRDefault="009E4304" w:rsidP="009E4304">
      <w:pPr>
        <w:spacing w:after="120" w:line="240" w:lineRule="auto"/>
        <w:rPr>
          <w:sz w:val="20"/>
          <w:szCs w:val="20"/>
        </w:rPr>
      </w:pPr>
    </w:p>
    <w:p w14:paraId="351C9DD0" w14:textId="04157795" w:rsidR="005A0000" w:rsidRPr="009E4304" w:rsidRDefault="00B82904" w:rsidP="009E4304">
      <w:pPr>
        <w:spacing w:after="120" w:line="240" w:lineRule="auto"/>
        <w:rPr>
          <w:b/>
          <w:bCs/>
          <w:sz w:val="24"/>
          <w:szCs w:val="24"/>
        </w:rPr>
      </w:pPr>
      <w:r w:rsidRPr="009E4304">
        <w:rPr>
          <w:b/>
          <w:bCs/>
          <w:sz w:val="24"/>
          <w:szCs w:val="24"/>
        </w:rPr>
        <w:t xml:space="preserve">Ścieżka </w:t>
      </w:r>
      <w:r w:rsidR="00D532D7" w:rsidRPr="009E4304">
        <w:rPr>
          <w:b/>
          <w:bCs/>
          <w:sz w:val="24"/>
          <w:szCs w:val="24"/>
        </w:rPr>
        <w:t>2</w:t>
      </w:r>
      <w:r w:rsidRPr="009E4304">
        <w:rPr>
          <w:b/>
          <w:bCs/>
          <w:sz w:val="24"/>
          <w:szCs w:val="24"/>
        </w:rPr>
        <w:t xml:space="preserve"> – </w:t>
      </w:r>
      <w:r w:rsidR="005A0000" w:rsidRPr="009E4304">
        <w:rPr>
          <w:b/>
          <w:bCs/>
          <w:sz w:val="24"/>
          <w:szCs w:val="24"/>
        </w:rPr>
        <w:t xml:space="preserve">podniesienie </w:t>
      </w:r>
      <w:r w:rsidR="00A0693F" w:rsidRPr="009E4304">
        <w:rPr>
          <w:b/>
          <w:bCs/>
          <w:sz w:val="24"/>
          <w:szCs w:val="24"/>
        </w:rPr>
        <w:t>poziomu gotowości do wdrożenia</w:t>
      </w:r>
    </w:p>
    <w:p w14:paraId="2303468E" w14:textId="77777777" w:rsidR="006E4712" w:rsidRPr="009E4304" w:rsidRDefault="006E4712" w:rsidP="009E4304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288A376E" w14:textId="01688D59" w:rsidR="001A4945" w:rsidRPr="009E4304" w:rsidRDefault="00B82904" w:rsidP="009E430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E4304">
        <w:rPr>
          <w:rFonts w:cstheme="minorHAnsi"/>
          <w:b/>
          <w:bCs/>
          <w:sz w:val="24"/>
          <w:szCs w:val="24"/>
        </w:rPr>
        <w:t>Szczegółowe informacje o przeznaczeniu dofinansowania</w:t>
      </w:r>
      <w:r w:rsidR="000752B3" w:rsidRPr="009E4304">
        <w:rPr>
          <w:rFonts w:cstheme="minorHAnsi"/>
          <w:b/>
          <w:bCs/>
          <w:sz w:val="24"/>
          <w:szCs w:val="24"/>
        </w:rPr>
        <w:t xml:space="preserve">, </w:t>
      </w:r>
      <w:r w:rsidRPr="009E4304">
        <w:rPr>
          <w:rFonts w:cstheme="minorHAnsi"/>
          <w:b/>
          <w:bCs/>
          <w:sz w:val="24"/>
          <w:szCs w:val="24"/>
        </w:rPr>
        <w:t xml:space="preserve">kategoriach wydatków kwalifikowanych </w:t>
      </w:r>
      <w:r w:rsidR="000752B3" w:rsidRPr="009E4304">
        <w:rPr>
          <w:rFonts w:cstheme="minorHAnsi"/>
          <w:b/>
          <w:bCs/>
          <w:sz w:val="24"/>
          <w:szCs w:val="24"/>
        </w:rPr>
        <w:t>oraz kryteriach oceny</w:t>
      </w:r>
    </w:p>
    <w:p w14:paraId="63827400" w14:textId="77777777" w:rsidR="00065295" w:rsidRPr="009E4304" w:rsidRDefault="00065295" w:rsidP="009E4304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69342E86" w14:textId="0FAF493D" w:rsidR="00024C55" w:rsidRPr="009E4304" w:rsidRDefault="00024C55" w:rsidP="009E4304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b w:val="0"/>
          <w:bCs/>
          <w:sz w:val="24"/>
          <w:szCs w:val="24"/>
        </w:rPr>
      </w:pPr>
      <w:r w:rsidRPr="009E4304">
        <w:rPr>
          <w:rFonts w:cstheme="minorHAnsi"/>
          <w:b w:val="0"/>
          <w:bCs/>
          <w:sz w:val="24"/>
          <w:szCs w:val="24"/>
        </w:rPr>
        <w:t>Dofinansowanie może zostać przyznane na</w:t>
      </w:r>
      <w:r w:rsidR="007A096D" w:rsidRPr="009E4304">
        <w:rPr>
          <w:b w:val="0"/>
          <w:bCs/>
          <w:sz w:val="24"/>
          <w:szCs w:val="24"/>
        </w:rPr>
        <w:t>:</w:t>
      </w:r>
    </w:p>
    <w:p w14:paraId="11E9B65B" w14:textId="77777777" w:rsidR="00024C55" w:rsidRPr="009E4304" w:rsidRDefault="00024C55" w:rsidP="009E4304">
      <w:pPr>
        <w:pStyle w:val="Akapitzlist"/>
        <w:numPr>
          <w:ilvl w:val="1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>wykonanie prototypu,</w:t>
      </w:r>
    </w:p>
    <w:p w14:paraId="4E057535" w14:textId="77777777" w:rsidR="00024C55" w:rsidRPr="009E4304" w:rsidRDefault="00024C55" w:rsidP="009E4304">
      <w:pPr>
        <w:pStyle w:val="Akapitzlist"/>
        <w:numPr>
          <w:ilvl w:val="1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 xml:space="preserve">przeprowadzenie badań typu </w:t>
      </w:r>
      <w:r w:rsidRPr="009E4304">
        <w:rPr>
          <w:rFonts w:cs="Times New Roman"/>
          <w:b w:val="0"/>
          <w:bCs/>
          <w:i/>
          <w:iCs/>
          <w:sz w:val="24"/>
          <w:szCs w:val="24"/>
        </w:rPr>
        <w:t xml:space="preserve">proof of </w:t>
      </w:r>
      <w:proofErr w:type="spellStart"/>
      <w:r w:rsidRPr="009E4304">
        <w:rPr>
          <w:rFonts w:cs="Times New Roman"/>
          <w:b w:val="0"/>
          <w:bCs/>
          <w:i/>
          <w:iCs/>
          <w:sz w:val="24"/>
          <w:szCs w:val="24"/>
        </w:rPr>
        <w:t>concept</w:t>
      </w:r>
      <w:proofErr w:type="spellEnd"/>
      <w:r w:rsidRPr="009E4304">
        <w:rPr>
          <w:rFonts w:cs="Times New Roman"/>
          <w:b w:val="0"/>
          <w:bCs/>
          <w:sz w:val="24"/>
          <w:szCs w:val="24"/>
        </w:rPr>
        <w:t>,</w:t>
      </w:r>
    </w:p>
    <w:p w14:paraId="426E5C47" w14:textId="3A7516D1" w:rsidR="00024C55" w:rsidRPr="009E4304" w:rsidRDefault="00024C55" w:rsidP="009E4304">
      <w:pPr>
        <w:pStyle w:val="Akapitzlist"/>
        <w:numPr>
          <w:ilvl w:val="1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>weryfikację eksperymentalną cech i badanie użyteczności Innowacji</w:t>
      </w:r>
      <w:r w:rsidR="002B775E" w:rsidRPr="009E4304">
        <w:rPr>
          <w:rFonts w:cs="Times New Roman"/>
          <w:b w:val="0"/>
          <w:bCs/>
          <w:sz w:val="24"/>
          <w:szCs w:val="24"/>
        </w:rPr>
        <w:t>, tj. wyników badań, które zostały uprzednio formalne zgłoszone do CTT CITTRU poprzez Formularz Zgłoszenia Wyników,</w:t>
      </w:r>
      <w:r w:rsidRPr="009E4304">
        <w:rPr>
          <w:rFonts w:cs="Times New Roman"/>
          <w:b w:val="0"/>
          <w:bCs/>
          <w:sz w:val="24"/>
          <w:szCs w:val="24"/>
        </w:rPr>
        <w:t xml:space="preserve"> z punktu widzenia odbiorcy lub potencjalnego partnera biznesowego zainteresowanego wdrożeniem,</w:t>
      </w:r>
    </w:p>
    <w:p w14:paraId="1ED6EA75" w14:textId="7F50379C" w:rsidR="00024C55" w:rsidRPr="009E4304" w:rsidRDefault="00024C55" w:rsidP="009E4304">
      <w:pPr>
        <w:pStyle w:val="Akapitzlist"/>
        <w:numPr>
          <w:ilvl w:val="1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>przeprowadzenie innych badań zwiększających potencjał komercyjny Innowacji</w:t>
      </w:r>
      <w:r w:rsidR="009E4304">
        <w:rPr>
          <w:rFonts w:cs="Times New Roman"/>
          <w:b w:val="0"/>
          <w:bCs/>
          <w:sz w:val="24"/>
          <w:szCs w:val="24"/>
        </w:rPr>
        <w:br/>
      </w:r>
      <w:r w:rsidRPr="009E4304">
        <w:rPr>
          <w:rFonts w:cs="Times New Roman"/>
          <w:b w:val="0"/>
          <w:bCs/>
          <w:sz w:val="24"/>
          <w:szCs w:val="24"/>
        </w:rPr>
        <w:t>i umożliwiających oraz optymalizujących proces jej wdrożenia lub zwiększających poziom gotowości do wdrożenia lub możliwość praktycznego zastosowania,</w:t>
      </w:r>
      <w:r w:rsidR="009E4304">
        <w:rPr>
          <w:rFonts w:cs="Times New Roman"/>
          <w:b w:val="0"/>
          <w:bCs/>
          <w:sz w:val="24"/>
          <w:szCs w:val="24"/>
        </w:rPr>
        <w:br/>
      </w:r>
      <w:r w:rsidRPr="009E4304">
        <w:rPr>
          <w:rFonts w:cs="Times New Roman"/>
          <w:b w:val="0"/>
          <w:bCs/>
          <w:sz w:val="24"/>
          <w:szCs w:val="24"/>
        </w:rPr>
        <w:t>w szczególności stanowiących odpowiedź na pytania zadane przez potencjalnego partnera biznesowego zainteresowanego wdrożeniem,</w:t>
      </w:r>
    </w:p>
    <w:p w14:paraId="1880FB1D" w14:textId="42E728E1" w:rsidR="00A12BBD" w:rsidRPr="009E4304" w:rsidRDefault="00024C55" w:rsidP="009E4304">
      <w:pPr>
        <w:pStyle w:val="Akapitzlist"/>
        <w:numPr>
          <w:ilvl w:val="1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>zakup usług eksperckich, w tym analiz i wycen</w:t>
      </w:r>
      <w:r w:rsidR="001147DC" w:rsidRPr="009E4304">
        <w:rPr>
          <w:rFonts w:cs="Times New Roman"/>
          <w:b w:val="0"/>
          <w:bCs/>
          <w:sz w:val="24"/>
          <w:szCs w:val="24"/>
        </w:rPr>
        <w:t>.</w:t>
      </w:r>
    </w:p>
    <w:p w14:paraId="3918129D" w14:textId="77777777" w:rsidR="001147DC" w:rsidRPr="009E4304" w:rsidRDefault="001147DC" w:rsidP="009E4304">
      <w:pPr>
        <w:pStyle w:val="Akapitzlist"/>
        <w:spacing w:line="240" w:lineRule="auto"/>
        <w:ind w:left="1080"/>
        <w:jc w:val="both"/>
        <w:rPr>
          <w:rFonts w:cs="Times New Roman"/>
          <w:b w:val="0"/>
          <w:bCs/>
          <w:sz w:val="24"/>
          <w:szCs w:val="24"/>
        </w:rPr>
      </w:pPr>
    </w:p>
    <w:p w14:paraId="020475F6" w14:textId="77777777" w:rsidR="00965A4B" w:rsidRPr="009E4304" w:rsidRDefault="00024C55" w:rsidP="009E4304">
      <w:pPr>
        <w:pStyle w:val="Akapitzlist"/>
        <w:numPr>
          <w:ilvl w:val="0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 xml:space="preserve">Koszty kwalifikowane w ramach dofinansowania obejmują następujące kategorie wydatków: </w:t>
      </w:r>
    </w:p>
    <w:p w14:paraId="23B3CDFF" w14:textId="12A64FDF" w:rsidR="00024C55" w:rsidRPr="009E4304" w:rsidRDefault="003D3744" w:rsidP="009E4304">
      <w:pPr>
        <w:numPr>
          <w:ilvl w:val="1"/>
          <w:numId w:val="7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bookmarkStart w:id="0" w:name="_Hlk79655025"/>
      <w:r w:rsidRPr="009E4304">
        <w:rPr>
          <w:rFonts w:cstheme="minorHAnsi"/>
          <w:bCs/>
          <w:sz w:val="24"/>
          <w:szCs w:val="24"/>
        </w:rPr>
        <w:t>Wynagrodzenia osób zaangażowanych bezpośrednio w realizację prac przedwdrożeniowych objętych wsparciem (personel badawczo-naukowy, techniczny i pomocniczy oraz osoby objęte/uczestniczące w badania jeśli innowacja jest testowana na wybranej grupie społecznej) – tylko jeśli niezbędne</w:t>
      </w:r>
      <w:r w:rsidR="009E4304">
        <w:rPr>
          <w:rFonts w:cstheme="minorHAnsi"/>
          <w:bCs/>
          <w:sz w:val="24"/>
          <w:szCs w:val="24"/>
        </w:rPr>
        <w:br/>
      </w:r>
      <w:r w:rsidRPr="009E4304">
        <w:rPr>
          <w:rFonts w:cstheme="minorHAnsi"/>
          <w:bCs/>
          <w:sz w:val="24"/>
          <w:szCs w:val="24"/>
        </w:rPr>
        <w:t>i uzasadnione, nie więcej niż 20% całkowitej wartości prac przedwdrożeniowych lub 25% gdy w kosztorysie ujęto wynagrodzenia osób/grupy społecznej objętej badaniem. W tej kategorii należy uwzględnić całkowity koszt wynagrodzenia personelu tj. brutto, brutto</w:t>
      </w:r>
      <w:r w:rsidR="00024C55" w:rsidRPr="009E4304">
        <w:rPr>
          <w:rFonts w:cstheme="minorHAnsi"/>
          <w:bCs/>
          <w:sz w:val="24"/>
          <w:szCs w:val="24"/>
        </w:rPr>
        <w:t>;</w:t>
      </w:r>
    </w:p>
    <w:bookmarkEnd w:id="0"/>
    <w:p w14:paraId="43F27B17" w14:textId="3086623B" w:rsidR="00024C55" w:rsidRPr="009E4304" w:rsidRDefault="00024C55" w:rsidP="009E4304">
      <w:pPr>
        <w:numPr>
          <w:ilvl w:val="1"/>
          <w:numId w:val="7"/>
        </w:num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9E4304">
        <w:rPr>
          <w:rFonts w:cs="Times New Roman"/>
          <w:bCs/>
          <w:sz w:val="24"/>
          <w:szCs w:val="24"/>
        </w:rPr>
        <w:t>Koszty udziału w targach i konferencjach biznesowych związanych</w:t>
      </w:r>
      <w:r w:rsidR="009E4304">
        <w:rPr>
          <w:rFonts w:cs="Times New Roman"/>
          <w:bCs/>
          <w:sz w:val="24"/>
          <w:szCs w:val="24"/>
        </w:rPr>
        <w:br/>
      </w:r>
      <w:r w:rsidRPr="009E4304">
        <w:rPr>
          <w:rFonts w:cs="Times New Roman"/>
          <w:bCs/>
          <w:sz w:val="24"/>
          <w:szCs w:val="24"/>
        </w:rPr>
        <w:t>z poszukiwaniem odbiorców Innowacji oraz szkoleniach niezbędnych do realizacji prac przedwdrożeniowych;</w:t>
      </w:r>
    </w:p>
    <w:p w14:paraId="4868F7D3" w14:textId="0A41C51F" w:rsidR="00024C55" w:rsidRPr="009E4304" w:rsidRDefault="00024C55" w:rsidP="009E4304">
      <w:pPr>
        <w:numPr>
          <w:ilvl w:val="1"/>
          <w:numId w:val="7"/>
        </w:num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9E4304">
        <w:rPr>
          <w:rFonts w:cs="Times New Roman"/>
          <w:bCs/>
          <w:sz w:val="24"/>
          <w:szCs w:val="24"/>
        </w:rPr>
        <w:t>Wydatki na zakup materiałów i surowców</w:t>
      </w:r>
      <w:r w:rsidR="00F31F0B" w:rsidRPr="009E4304">
        <w:rPr>
          <w:rFonts w:cs="Times New Roman"/>
          <w:bCs/>
          <w:sz w:val="24"/>
          <w:szCs w:val="24"/>
        </w:rPr>
        <w:t xml:space="preserve"> zużywalnych</w:t>
      </w:r>
      <w:r w:rsidRPr="009E4304">
        <w:rPr>
          <w:rFonts w:cs="Times New Roman"/>
          <w:bCs/>
          <w:sz w:val="24"/>
          <w:szCs w:val="24"/>
        </w:rPr>
        <w:t>;</w:t>
      </w:r>
    </w:p>
    <w:p w14:paraId="7DF824A7" w14:textId="16B43E45" w:rsidR="00024C55" w:rsidRPr="009E4304" w:rsidRDefault="00024C55" w:rsidP="009E4304">
      <w:pPr>
        <w:numPr>
          <w:ilvl w:val="1"/>
          <w:numId w:val="7"/>
        </w:num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9E4304">
        <w:rPr>
          <w:rFonts w:cs="Times New Roman"/>
          <w:bCs/>
          <w:sz w:val="24"/>
          <w:szCs w:val="24"/>
        </w:rPr>
        <w:t>Koszty wynajmu aparatury naukowo-badawczej UJ, określone na podstawie cenników zgodnych z wewnętrznym regulaminem UJ dotyczącym korzystania</w:t>
      </w:r>
      <w:r w:rsidR="009E4304">
        <w:rPr>
          <w:rFonts w:cs="Times New Roman"/>
          <w:bCs/>
          <w:sz w:val="24"/>
          <w:szCs w:val="24"/>
        </w:rPr>
        <w:br/>
      </w:r>
      <w:r w:rsidRPr="009E4304">
        <w:rPr>
          <w:rFonts w:cs="Times New Roman"/>
          <w:bCs/>
          <w:sz w:val="24"/>
          <w:szCs w:val="24"/>
        </w:rPr>
        <w:t>z infrastruktury;</w:t>
      </w:r>
    </w:p>
    <w:p w14:paraId="33A3140E" w14:textId="6E52DB6C" w:rsidR="00024C55" w:rsidRPr="009E4304" w:rsidRDefault="00024C55" w:rsidP="009E4304">
      <w:pPr>
        <w:numPr>
          <w:ilvl w:val="1"/>
          <w:numId w:val="7"/>
        </w:num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9E4304">
        <w:rPr>
          <w:rFonts w:cs="Times New Roman"/>
          <w:bCs/>
          <w:sz w:val="24"/>
          <w:szCs w:val="24"/>
        </w:rPr>
        <w:t xml:space="preserve">Wydatki na zakup </w:t>
      </w:r>
      <w:r w:rsidR="00A140E6" w:rsidRPr="009E4304">
        <w:rPr>
          <w:rFonts w:cs="Times New Roman"/>
          <w:bCs/>
          <w:sz w:val="24"/>
          <w:szCs w:val="24"/>
        </w:rPr>
        <w:t xml:space="preserve">usług </w:t>
      </w:r>
      <w:r w:rsidRPr="009E4304">
        <w:rPr>
          <w:rFonts w:cs="Times New Roman"/>
          <w:bCs/>
          <w:sz w:val="24"/>
          <w:szCs w:val="24"/>
        </w:rPr>
        <w:t>zewnętrznych;</w:t>
      </w:r>
    </w:p>
    <w:p w14:paraId="0858910A" w14:textId="01607D31" w:rsidR="00B8405C" w:rsidRPr="009E4304" w:rsidRDefault="00024C55" w:rsidP="009E4304">
      <w:pPr>
        <w:numPr>
          <w:ilvl w:val="1"/>
          <w:numId w:val="7"/>
        </w:num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9E4304">
        <w:rPr>
          <w:rFonts w:cs="Times New Roman"/>
          <w:bCs/>
          <w:sz w:val="24"/>
          <w:szCs w:val="24"/>
        </w:rPr>
        <w:t xml:space="preserve">Koszty krajowych i zagranicznych podróży służbowych związanych z </w:t>
      </w:r>
      <w:r w:rsidR="00F31F0B" w:rsidRPr="009E4304">
        <w:rPr>
          <w:rFonts w:cs="Times New Roman"/>
          <w:bCs/>
          <w:sz w:val="24"/>
          <w:szCs w:val="24"/>
        </w:rPr>
        <w:t xml:space="preserve">realizacją </w:t>
      </w:r>
      <w:r w:rsidRPr="009E4304">
        <w:rPr>
          <w:rFonts w:cs="Times New Roman"/>
          <w:bCs/>
          <w:sz w:val="24"/>
          <w:szCs w:val="24"/>
        </w:rPr>
        <w:t>bada</w:t>
      </w:r>
      <w:r w:rsidR="00F31F0B" w:rsidRPr="009E4304">
        <w:rPr>
          <w:rFonts w:cs="Times New Roman"/>
          <w:bCs/>
          <w:sz w:val="24"/>
          <w:szCs w:val="24"/>
        </w:rPr>
        <w:t>ń</w:t>
      </w:r>
      <w:r w:rsidRPr="009E4304">
        <w:rPr>
          <w:rFonts w:cs="Times New Roman"/>
          <w:bCs/>
          <w:sz w:val="24"/>
          <w:szCs w:val="24"/>
        </w:rPr>
        <w:t xml:space="preserve"> przedwdrożeniowymi;</w:t>
      </w:r>
    </w:p>
    <w:p w14:paraId="49946340" w14:textId="5E8B7F0B" w:rsidR="00047810" w:rsidRPr="009E4304" w:rsidRDefault="002B775E" w:rsidP="009E4304">
      <w:pPr>
        <w:numPr>
          <w:ilvl w:val="1"/>
          <w:numId w:val="7"/>
        </w:numPr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9E4304">
        <w:rPr>
          <w:rFonts w:cs="Times New Roman"/>
          <w:bCs/>
          <w:sz w:val="24"/>
          <w:szCs w:val="24"/>
        </w:rPr>
        <w:lastRenderedPageBreak/>
        <w:t>I</w:t>
      </w:r>
      <w:r w:rsidR="00047810" w:rsidRPr="009E4304">
        <w:rPr>
          <w:rFonts w:cs="Times New Roman"/>
          <w:bCs/>
          <w:sz w:val="24"/>
          <w:szCs w:val="24"/>
        </w:rPr>
        <w:t>nne koszty niezbędne dla uzyskania rezultatu (konieczne podanie szczegółowego uzasadnienia)</w:t>
      </w:r>
      <w:r w:rsidRPr="009E4304">
        <w:rPr>
          <w:rFonts w:cs="Times New Roman"/>
          <w:bCs/>
          <w:sz w:val="24"/>
          <w:szCs w:val="24"/>
        </w:rPr>
        <w:t>.</w:t>
      </w:r>
    </w:p>
    <w:p w14:paraId="68F291DE" w14:textId="77777777" w:rsidR="001147DC" w:rsidRPr="009E4304" w:rsidRDefault="001147DC" w:rsidP="009E4304">
      <w:pPr>
        <w:spacing w:after="120" w:line="240" w:lineRule="auto"/>
        <w:ind w:left="1068"/>
        <w:jc w:val="both"/>
        <w:rPr>
          <w:rFonts w:cs="Times New Roman"/>
          <w:bCs/>
          <w:sz w:val="24"/>
          <w:szCs w:val="24"/>
        </w:rPr>
      </w:pPr>
    </w:p>
    <w:p w14:paraId="16FDA529" w14:textId="5FCC65EA" w:rsidR="002F45F2" w:rsidRPr="009E4304" w:rsidRDefault="002F45F2" w:rsidP="009E4304">
      <w:pPr>
        <w:pStyle w:val="Akapitzlist"/>
        <w:numPr>
          <w:ilvl w:val="0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>Warunkiem rozpatrzenia wniosku o dofinansowanie jest:</w:t>
      </w:r>
    </w:p>
    <w:p w14:paraId="24CF0A89" w14:textId="0E741846" w:rsidR="00D50392" w:rsidRPr="009E4304" w:rsidRDefault="00D50392" w:rsidP="009E4304">
      <w:pPr>
        <w:numPr>
          <w:ilvl w:val="1"/>
          <w:numId w:val="7"/>
        </w:numPr>
        <w:tabs>
          <w:tab w:val="left" w:pos="426"/>
        </w:tabs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9E4304">
        <w:rPr>
          <w:rFonts w:cs="Times New Roman"/>
          <w:bCs/>
          <w:sz w:val="24"/>
          <w:szCs w:val="24"/>
        </w:rPr>
        <w:t>uprzednie formalne zgłoszenie Innowacji do CTT CITTRU poprzez Formularz Zgłoszenia Wyników (zarejestrowana Innowacja, prawa majątkowe do własności intelektualnej w całości lub w części należą do UJ). Dofinansowanie mogą uzyskać tylko takie Innowacje, dla których dokonano już zgłoszenia patentowego w UPRP lub innej procedurze patentowej za granicą lub</w:t>
      </w:r>
      <w:r w:rsidR="003E2C51" w:rsidRPr="009E4304">
        <w:rPr>
          <w:rFonts w:cs="Times New Roman"/>
          <w:bCs/>
          <w:sz w:val="24"/>
          <w:szCs w:val="24"/>
        </w:rPr>
        <w:t>,</w:t>
      </w:r>
      <w:r w:rsidRPr="009E4304">
        <w:rPr>
          <w:rFonts w:cs="Times New Roman"/>
          <w:bCs/>
          <w:sz w:val="24"/>
          <w:szCs w:val="24"/>
        </w:rPr>
        <w:t xml:space="preserve"> dla których istnieje co najmniej pierwsza wersja usługi, produktu</w:t>
      </w:r>
      <w:r w:rsidR="003E2C51" w:rsidRPr="009E4304">
        <w:rPr>
          <w:rFonts w:cs="Times New Roman"/>
          <w:bCs/>
          <w:sz w:val="24"/>
          <w:szCs w:val="24"/>
        </w:rPr>
        <w:t xml:space="preserve"> lub </w:t>
      </w:r>
      <w:r w:rsidR="00156069" w:rsidRPr="009E4304">
        <w:rPr>
          <w:rFonts w:cs="Times New Roman"/>
          <w:bCs/>
          <w:sz w:val="24"/>
          <w:szCs w:val="24"/>
        </w:rPr>
        <w:t xml:space="preserve">istnieją wyniki </w:t>
      </w:r>
      <w:r w:rsidR="00C64150" w:rsidRPr="009E4304">
        <w:rPr>
          <w:rFonts w:cs="Times New Roman"/>
          <w:bCs/>
          <w:sz w:val="24"/>
          <w:szCs w:val="24"/>
        </w:rPr>
        <w:t xml:space="preserve">badań </w:t>
      </w:r>
      <w:r w:rsidR="00C64150" w:rsidRPr="009E4304">
        <w:rPr>
          <w:rFonts w:cs="Times New Roman"/>
          <w:bCs/>
          <w:i/>
          <w:iCs/>
          <w:sz w:val="24"/>
          <w:szCs w:val="24"/>
        </w:rPr>
        <w:t xml:space="preserve">proof of </w:t>
      </w:r>
      <w:proofErr w:type="spellStart"/>
      <w:r w:rsidR="00C64150" w:rsidRPr="009E4304">
        <w:rPr>
          <w:rFonts w:cs="Times New Roman"/>
          <w:bCs/>
          <w:i/>
          <w:iCs/>
          <w:sz w:val="24"/>
          <w:szCs w:val="24"/>
        </w:rPr>
        <w:t>principle</w:t>
      </w:r>
      <w:proofErr w:type="spellEnd"/>
      <w:r w:rsidR="00C64150" w:rsidRPr="009E4304">
        <w:rPr>
          <w:rFonts w:cs="Times New Roman"/>
          <w:bCs/>
          <w:sz w:val="24"/>
          <w:szCs w:val="24"/>
        </w:rPr>
        <w:t xml:space="preserve"> potwierdzające możliwość opracowania innowacyjnego produktu lub usługi,</w:t>
      </w:r>
    </w:p>
    <w:p w14:paraId="35D3E830" w14:textId="6DAF6823" w:rsidR="00D50392" w:rsidRPr="009E4304" w:rsidRDefault="00D50392" w:rsidP="009E4304">
      <w:pPr>
        <w:numPr>
          <w:ilvl w:val="1"/>
          <w:numId w:val="7"/>
        </w:numPr>
        <w:tabs>
          <w:tab w:val="left" w:pos="426"/>
        </w:tabs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9E4304">
        <w:rPr>
          <w:rFonts w:cs="Times New Roman"/>
          <w:bCs/>
          <w:sz w:val="24"/>
          <w:szCs w:val="24"/>
        </w:rPr>
        <w:t xml:space="preserve">wykazanie, że Innowacja posiada wysoki potencjał komercyjny i praktyczny, wynikający bądź z analizy rynku, bądź z zapotrzebowania bezpośrednio zgłoszonego przez partnera biznesowego (popartego dokumentem, np. listem intencyjnym lub umową o współpracy, umową </w:t>
      </w:r>
      <w:proofErr w:type="spellStart"/>
      <w:r w:rsidR="00047810" w:rsidRPr="009E4304">
        <w:rPr>
          <w:rFonts w:cs="Times New Roman"/>
          <w:bCs/>
          <w:i/>
          <w:iCs/>
          <w:sz w:val="24"/>
          <w:szCs w:val="24"/>
        </w:rPr>
        <w:t>material</w:t>
      </w:r>
      <w:proofErr w:type="spellEnd"/>
      <w:r w:rsidR="00047810" w:rsidRPr="009E4304">
        <w:rPr>
          <w:rFonts w:cs="Times New Roman"/>
          <w:bCs/>
          <w:i/>
          <w:iCs/>
          <w:sz w:val="24"/>
          <w:szCs w:val="24"/>
        </w:rPr>
        <w:t xml:space="preserve"> transfer </w:t>
      </w:r>
      <w:proofErr w:type="spellStart"/>
      <w:r w:rsidR="00047810" w:rsidRPr="009E4304">
        <w:rPr>
          <w:rFonts w:cs="Times New Roman"/>
          <w:bCs/>
          <w:i/>
          <w:iCs/>
          <w:sz w:val="24"/>
          <w:szCs w:val="24"/>
        </w:rPr>
        <w:t>agreement</w:t>
      </w:r>
      <w:proofErr w:type="spellEnd"/>
      <w:r w:rsidR="00047810" w:rsidRPr="009E4304">
        <w:rPr>
          <w:rFonts w:cs="Times New Roman"/>
          <w:bCs/>
          <w:sz w:val="24"/>
          <w:szCs w:val="24"/>
        </w:rPr>
        <w:t xml:space="preserve"> (udostępnienia materiału do celów badawczych)</w:t>
      </w:r>
      <w:r w:rsidRPr="009E4304">
        <w:rPr>
          <w:rFonts w:cs="Times New Roman"/>
          <w:bCs/>
          <w:sz w:val="24"/>
          <w:szCs w:val="24"/>
        </w:rPr>
        <w:t>, zapytaniem z firmy, sprawozdaniem ze spotkania z firmą, itp.),</w:t>
      </w:r>
    </w:p>
    <w:p w14:paraId="7CD75774" w14:textId="1F056182" w:rsidR="009829DA" w:rsidRPr="009E4304" w:rsidRDefault="00D50392" w:rsidP="009E4304">
      <w:pPr>
        <w:numPr>
          <w:ilvl w:val="1"/>
          <w:numId w:val="7"/>
        </w:numPr>
        <w:tabs>
          <w:tab w:val="left" w:pos="426"/>
        </w:tabs>
        <w:spacing w:after="120" w:line="240" w:lineRule="auto"/>
        <w:jc w:val="both"/>
        <w:rPr>
          <w:rFonts w:cs="Times New Roman"/>
          <w:bCs/>
          <w:sz w:val="24"/>
          <w:szCs w:val="24"/>
        </w:rPr>
      </w:pPr>
      <w:r w:rsidRPr="009E4304">
        <w:rPr>
          <w:rFonts w:cs="Times New Roman"/>
          <w:bCs/>
          <w:sz w:val="24"/>
          <w:szCs w:val="24"/>
        </w:rPr>
        <w:t>wykazanie, że zaplanowane prace przedwdrożeniowe znacząco zwiększą poziom gotowości Innowacji do komercjalizacji lub praktycznego wykorzystania</w:t>
      </w:r>
      <w:r w:rsidR="009E4304">
        <w:rPr>
          <w:rFonts w:cs="Times New Roman"/>
          <w:bCs/>
          <w:sz w:val="24"/>
          <w:szCs w:val="24"/>
        </w:rPr>
        <w:br/>
      </w:r>
      <w:r w:rsidRPr="009E4304">
        <w:rPr>
          <w:rFonts w:cs="Times New Roman"/>
          <w:bCs/>
          <w:sz w:val="24"/>
          <w:szCs w:val="24"/>
        </w:rPr>
        <w:t>i w rezultacie zwiększą szanse na sukces procesu transfery technologii i wiedzy</w:t>
      </w:r>
      <w:r w:rsidR="009E4304">
        <w:rPr>
          <w:rFonts w:cs="Times New Roman"/>
          <w:bCs/>
          <w:sz w:val="24"/>
          <w:szCs w:val="24"/>
        </w:rPr>
        <w:br/>
      </w:r>
      <w:r w:rsidRPr="009E4304">
        <w:rPr>
          <w:rFonts w:cs="Times New Roman"/>
          <w:bCs/>
          <w:sz w:val="24"/>
          <w:szCs w:val="24"/>
        </w:rPr>
        <w:t xml:space="preserve">z uczelni do otoczenia społeczno-gospodarczego. </w:t>
      </w:r>
    </w:p>
    <w:p w14:paraId="2D3E85D1" w14:textId="77777777" w:rsidR="005457E3" w:rsidRPr="009E4304" w:rsidRDefault="005457E3" w:rsidP="009E4304">
      <w:pPr>
        <w:tabs>
          <w:tab w:val="left" w:pos="426"/>
        </w:tabs>
        <w:spacing w:after="120" w:line="240" w:lineRule="auto"/>
        <w:ind w:left="1080"/>
        <w:jc w:val="both"/>
        <w:rPr>
          <w:rFonts w:cs="Times New Roman"/>
          <w:bCs/>
          <w:sz w:val="24"/>
          <w:szCs w:val="24"/>
        </w:rPr>
      </w:pPr>
    </w:p>
    <w:p w14:paraId="39196578" w14:textId="60CF9B06" w:rsidR="002F45F2" w:rsidRPr="009E4304" w:rsidRDefault="002F45F2" w:rsidP="009E4304">
      <w:pPr>
        <w:pStyle w:val="Akapitzlist"/>
        <w:numPr>
          <w:ilvl w:val="0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>Kryteria oceny wniosków są następujące:</w:t>
      </w:r>
    </w:p>
    <w:p w14:paraId="6B31F3FD" w14:textId="5BED2F59" w:rsidR="001F6C52" w:rsidRPr="009E4304" w:rsidRDefault="001F6C52" w:rsidP="009E4304">
      <w:pPr>
        <w:pStyle w:val="Akapitzlist"/>
        <w:numPr>
          <w:ilvl w:val="1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 xml:space="preserve">ocena innowacyjności rozwiązania w kontekście zapotrzebowania rynku na produkt/usługę bazującą na Innowacji (od 0 do </w:t>
      </w:r>
      <w:r w:rsidR="00F74D72">
        <w:rPr>
          <w:rFonts w:cs="Times New Roman"/>
          <w:b w:val="0"/>
          <w:bCs/>
          <w:sz w:val="24"/>
          <w:szCs w:val="24"/>
        </w:rPr>
        <w:t>1</w:t>
      </w:r>
      <w:r w:rsidR="004B1CEE">
        <w:rPr>
          <w:rFonts w:cs="Times New Roman"/>
          <w:b w:val="0"/>
          <w:bCs/>
          <w:sz w:val="24"/>
          <w:szCs w:val="24"/>
        </w:rPr>
        <w:t>5</w:t>
      </w:r>
      <w:r w:rsidRPr="009E4304">
        <w:rPr>
          <w:rFonts w:cs="Times New Roman"/>
          <w:b w:val="0"/>
          <w:bCs/>
          <w:sz w:val="24"/>
          <w:szCs w:val="24"/>
        </w:rPr>
        <w:t xml:space="preserve"> pkt)</w:t>
      </w:r>
      <w:r w:rsidR="002B775E" w:rsidRPr="009E4304">
        <w:rPr>
          <w:rFonts w:cs="Times New Roman"/>
          <w:b w:val="0"/>
          <w:bCs/>
          <w:sz w:val="24"/>
          <w:szCs w:val="24"/>
        </w:rPr>
        <w:t>;</w:t>
      </w:r>
    </w:p>
    <w:p w14:paraId="766A25CC" w14:textId="7D3AEE6A" w:rsidR="001F6C52" w:rsidRPr="009E4304" w:rsidRDefault="001F6C52" w:rsidP="009E4304">
      <w:pPr>
        <w:pStyle w:val="Akapitzlist"/>
        <w:numPr>
          <w:ilvl w:val="1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>ocena poziomu gotowości technologicznej Innowacji wg skali TRL</w:t>
      </w:r>
      <w:r w:rsidR="002B775E" w:rsidRPr="009E4304">
        <w:rPr>
          <w:rFonts w:cs="Times New Roman"/>
          <w:b w:val="0"/>
          <w:bCs/>
          <w:sz w:val="24"/>
          <w:szCs w:val="24"/>
        </w:rPr>
        <w:t xml:space="preserve"> (</w:t>
      </w:r>
      <w:r w:rsidR="002B775E" w:rsidRPr="009E4304">
        <w:rPr>
          <w:rFonts w:cs="Times New Roman"/>
          <w:b w:val="0"/>
          <w:bCs/>
          <w:i/>
          <w:iCs/>
          <w:sz w:val="24"/>
          <w:szCs w:val="24"/>
        </w:rPr>
        <w:t>Technology Readiness Level</w:t>
      </w:r>
      <w:r w:rsidR="002B775E" w:rsidRPr="009E4304">
        <w:rPr>
          <w:rFonts w:cs="Times New Roman"/>
          <w:b w:val="0"/>
          <w:bCs/>
          <w:sz w:val="24"/>
          <w:szCs w:val="24"/>
        </w:rPr>
        <w:t>)</w:t>
      </w:r>
      <w:r w:rsidRPr="009E4304">
        <w:rPr>
          <w:rFonts w:cs="Times New Roman"/>
          <w:b w:val="0"/>
          <w:bCs/>
          <w:sz w:val="24"/>
          <w:szCs w:val="24"/>
        </w:rPr>
        <w:t xml:space="preserve"> (</w:t>
      </w:r>
      <w:r w:rsidR="002B775E" w:rsidRPr="009E4304">
        <w:rPr>
          <w:rFonts w:cs="Times New Roman"/>
          <w:b w:val="0"/>
          <w:bCs/>
          <w:sz w:val="24"/>
          <w:szCs w:val="24"/>
        </w:rPr>
        <w:t>od 1 do 3 pkt, przy czym: 1 pkt dla TRL 1-2, 2 pkt</w:t>
      </w:r>
      <w:r w:rsidRPr="009E4304">
        <w:rPr>
          <w:rFonts w:cs="Times New Roman"/>
          <w:b w:val="0"/>
          <w:bCs/>
          <w:sz w:val="24"/>
          <w:szCs w:val="24"/>
        </w:rPr>
        <w:t xml:space="preserve"> dla TRL 3-4, 3 pkt dla TRL 5-9)</w:t>
      </w:r>
      <w:r w:rsidR="002B775E" w:rsidRPr="009E4304">
        <w:rPr>
          <w:rFonts w:cs="Times New Roman"/>
          <w:b w:val="0"/>
          <w:bCs/>
          <w:sz w:val="24"/>
          <w:szCs w:val="24"/>
        </w:rPr>
        <w:t>;</w:t>
      </w:r>
    </w:p>
    <w:p w14:paraId="177B2B1F" w14:textId="79556CAC" w:rsidR="001F6C52" w:rsidRPr="009E4304" w:rsidRDefault="001F6C52" w:rsidP="009E4304">
      <w:pPr>
        <w:pStyle w:val="Akapitzlist"/>
        <w:numPr>
          <w:ilvl w:val="1"/>
          <w:numId w:val="7"/>
        </w:numPr>
        <w:spacing w:line="240" w:lineRule="auto"/>
        <w:jc w:val="both"/>
        <w:rPr>
          <w:rFonts w:cs="Times New Roman"/>
          <w:b w:val="0"/>
          <w:bCs/>
          <w:sz w:val="24"/>
          <w:szCs w:val="24"/>
        </w:rPr>
      </w:pPr>
      <w:r w:rsidRPr="009E4304">
        <w:rPr>
          <w:rFonts w:cs="Times New Roman"/>
          <w:b w:val="0"/>
          <w:bCs/>
          <w:sz w:val="24"/>
          <w:szCs w:val="24"/>
        </w:rPr>
        <w:t xml:space="preserve">plany zespołu dotyczące założenia spółki typu </w:t>
      </w:r>
      <w:proofErr w:type="spellStart"/>
      <w:r w:rsidRPr="009E4304">
        <w:rPr>
          <w:rFonts w:cs="Times New Roman"/>
          <w:b w:val="0"/>
          <w:bCs/>
          <w:sz w:val="24"/>
          <w:szCs w:val="24"/>
        </w:rPr>
        <w:t>spin</w:t>
      </w:r>
      <w:proofErr w:type="spellEnd"/>
      <w:r w:rsidRPr="009E4304">
        <w:rPr>
          <w:rFonts w:cs="Times New Roman"/>
          <w:b w:val="0"/>
          <w:bCs/>
          <w:sz w:val="24"/>
          <w:szCs w:val="24"/>
        </w:rPr>
        <w:t xml:space="preserve"> </w:t>
      </w:r>
      <w:r w:rsidR="002B775E" w:rsidRPr="009E4304">
        <w:rPr>
          <w:rFonts w:cs="Times New Roman"/>
          <w:b w:val="0"/>
          <w:bCs/>
          <w:sz w:val="24"/>
          <w:szCs w:val="24"/>
        </w:rPr>
        <w:t xml:space="preserve">off </w:t>
      </w:r>
      <w:r w:rsidRPr="009E4304">
        <w:rPr>
          <w:rFonts w:cs="Times New Roman"/>
          <w:b w:val="0"/>
          <w:bCs/>
          <w:sz w:val="24"/>
          <w:szCs w:val="24"/>
        </w:rPr>
        <w:t xml:space="preserve">z uwzględnieniem poziomu zaawansowania prac związanych z założeniem spółki (od 0 do </w:t>
      </w:r>
      <w:r w:rsidR="00B07291">
        <w:rPr>
          <w:rFonts w:cs="Times New Roman"/>
          <w:b w:val="0"/>
          <w:bCs/>
          <w:sz w:val="24"/>
          <w:szCs w:val="24"/>
        </w:rPr>
        <w:t>5</w:t>
      </w:r>
      <w:r w:rsidR="00B07291" w:rsidRPr="009E4304">
        <w:rPr>
          <w:rFonts w:cs="Times New Roman"/>
          <w:b w:val="0"/>
          <w:bCs/>
          <w:sz w:val="24"/>
          <w:szCs w:val="24"/>
        </w:rPr>
        <w:t xml:space="preserve"> </w:t>
      </w:r>
      <w:r w:rsidRPr="009E4304">
        <w:rPr>
          <w:rFonts w:cs="Times New Roman"/>
          <w:b w:val="0"/>
          <w:bCs/>
          <w:sz w:val="24"/>
          <w:szCs w:val="24"/>
        </w:rPr>
        <w:t>pkt</w:t>
      </w:r>
      <w:r w:rsidR="002B775E" w:rsidRPr="009E4304">
        <w:rPr>
          <w:rFonts w:cs="Times New Roman"/>
          <w:b w:val="0"/>
          <w:bCs/>
          <w:sz w:val="24"/>
          <w:szCs w:val="24"/>
        </w:rPr>
        <w:t>, przy czym:</w:t>
      </w:r>
      <w:r w:rsidRPr="009E4304">
        <w:rPr>
          <w:rFonts w:cs="Times New Roman"/>
          <w:b w:val="0"/>
          <w:bCs/>
          <w:sz w:val="24"/>
          <w:szCs w:val="24"/>
        </w:rPr>
        <w:t xml:space="preserve"> </w:t>
      </w:r>
      <w:r w:rsidR="009E4304">
        <w:rPr>
          <w:rFonts w:cs="Times New Roman"/>
          <w:b w:val="0"/>
          <w:bCs/>
          <w:sz w:val="24"/>
          <w:szCs w:val="24"/>
        </w:rPr>
        <w:br/>
      </w:r>
      <w:r w:rsidRPr="009E4304">
        <w:rPr>
          <w:rFonts w:cs="Times New Roman"/>
          <w:b w:val="0"/>
          <w:bCs/>
          <w:sz w:val="24"/>
          <w:szCs w:val="24"/>
        </w:rPr>
        <w:t>0</w:t>
      </w:r>
      <w:r w:rsidR="002B775E" w:rsidRPr="009E4304">
        <w:rPr>
          <w:rFonts w:cs="Times New Roman"/>
          <w:b w:val="0"/>
          <w:bCs/>
          <w:sz w:val="24"/>
          <w:szCs w:val="24"/>
        </w:rPr>
        <w:t xml:space="preserve"> </w:t>
      </w:r>
      <w:r w:rsidRPr="009E4304">
        <w:rPr>
          <w:rFonts w:cs="Times New Roman"/>
          <w:b w:val="0"/>
          <w:bCs/>
          <w:sz w:val="24"/>
          <w:szCs w:val="24"/>
        </w:rPr>
        <w:t>pkt</w:t>
      </w:r>
      <w:r w:rsidR="00047810" w:rsidRPr="009E4304">
        <w:rPr>
          <w:rFonts w:cs="Times New Roman"/>
          <w:b w:val="0"/>
          <w:bCs/>
          <w:sz w:val="24"/>
          <w:szCs w:val="24"/>
        </w:rPr>
        <w:t>,</w:t>
      </w:r>
      <w:r w:rsidRPr="009E4304">
        <w:rPr>
          <w:rFonts w:cs="Times New Roman"/>
          <w:b w:val="0"/>
          <w:bCs/>
          <w:sz w:val="24"/>
          <w:szCs w:val="24"/>
        </w:rPr>
        <w:t xml:space="preserve"> gdy spółka </w:t>
      </w:r>
      <w:r w:rsidR="002B775E" w:rsidRPr="009E4304">
        <w:rPr>
          <w:rFonts w:cs="Times New Roman"/>
          <w:b w:val="0"/>
          <w:bCs/>
          <w:sz w:val="24"/>
          <w:szCs w:val="24"/>
        </w:rPr>
        <w:t xml:space="preserve">nie </w:t>
      </w:r>
      <w:r w:rsidRPr="009E4304">
        <w:rPr>
          <w:rFonts w:cs="Times New Roman"/>
          <w:b w:val="0"/>
          <w:bCs/>
          <w:sz w:val="24"/>
          <w:szCs w:val="24"/>
        </w:rPr>
        <w:t>jest planowana</w:t>
      </w:r>
      <w:r w:rsidR="00047810" w:rsidRPr="009E4304">
        <w:rPr>
          <w:rFonts w:cs="Times New Roman"/>
          <w:b w:val="0"/>
          <w:bCs/>
          <w:sz w:val="24"/>
          <w:szCs w:val="24"/>
        </w:rPr>
        <w:t>,</w:t>
      </w:r>
      <w:r w:rsidRPr="009E4304">
        <w:rPr>
          <w:rFonts w:cs="Times New Roman"/>
          <w:b w:val="0"/>
          <w:bCs/>
          <w:sz w:val="24"/>
          <w:szCs w:val="24"/>
        </w:rPr>
        <w:t xml:space="preserve"> </w:t>
      </w:r>
      <w:r w:rsidR="002B775E" w:rsidRPr="009E4304">
        <w:rPr>
          <w:rFonts w:cs="Times New Roman"/>
          <w:b w:val="0"/>
          <w:bCs/>
          <w:sz w:val="24"/>
          <w:szCs w:val="24"/>
        </w:rPr>
        <w:t xml:space="preserve">1 pkt, gdy spółka jest planowana, </w:t>
      </w:r>
      <w:r w:rsidRPr="009E4304">
        <w:rPr>
          <w:rFonts w:cs="Times New Roman"/>
          <w:b w:val="0"/>
          <w:bCs/>
          <w:sz w:val="24"/>
          <w:szCs w:val="24"/>
        </w:rPr>
        <w:t>ale nie podjęto żadnych działań</w:t>
      </w:r>
      <w:r w:rsidR="004C54DE">
        <w:rPr>
          <w:rFonts w:cs="Times New Roman"/>
          <w:b w:val="0"/>
          <w:bCs/>
          <w:sz w:val="24"/>
          <w:szCs w:val="24"/>
        </w:rPr>
        <w:t xml:space="preserve">, </w:t>
      </w:r>
      <w:r w:rsidR="00D6298E">
        <w:rPr>
          <w:rFonts w:cs="Times New Roman"/>
          <w:b w:val="0"/>
          <w:bCs/>
          <w:sz w:val="24"/>
          <w:szCs w:val="24"/>
        </w:rPr>
        <w:t xml:space="preserve">poza wyrażeniem woli </w:t>
      </w:r>
      <w:r w:rsidR="00BC3D4B">
        <w:rPr>
          <w:rFonts w:cs="Times New Roman"/>
          <w:b w:val="0"/>
          <w:bCs/>
          <w:sz w:val="24"/>
          <w:szCs w:val="24"/>
        </w:rPr>
        <w:t xml:space="preserve">potwierdzonym przez </w:t>
      </w:r>
      <w:proofErr w:type="spellStart"/>
      <w:r w:rsidR="00BC3D4B">
        <w:rPr>
          <w:rFonts w:cs="Times New Roman"/>
          <w:b w:val="0"/>
          <w:bCs/>
          <w:sz w:val="24"/>
          <w:szCs w:val="24"/>
        </w:rPr>
        <w:t>InnoCel</w:t>
      </w:r>
      <w:proofErr w:type="spellEnd"/>
      <w:r w:rsidR="00BC3D4B">
        <w:rPr>
          <w:rFonts w:cs="Times New Roman"/>
          <w:b w:val="0"/>
          <w:bCs/>
          <w:sz w:val="24"/>
          <w:szCs w:val="24"/>
        </w:rPr>
        <w:t xml:space="preserve"> (spółkę celową UJ)</w:t>
      </w:r>
      <w:r w:rsidRPr="009E4304">
        <w:rPr>
          <w:rFonts w:cs="Times New Roman"/>
          <w:b w:val="0"/>
          <w:bCs/>
          <w:sz w:val="24"/>
          <w:szCs w:val="24"/>
        </w:rPr>
        <w:t xml:space="preserve">, </w:t>
      </w:r>
      <w:r w:rsidR="00BC3D4B">
        <w:rPr>
          <w:rFonts w:cs="Times New Roman"/>
          <w:b w:val="0"/>
          <w:bCs/>
          <w:sz w:val="24"/>
          <w:szCs w:val="24"/>
        </w:rPr>
        <w:t>3</w:t>
      </w:r>
      <w:r w:rsidR="00BC3D4B" w:rsidRPr="009E4304">
        <w:rPr>
          <w:rFonts w:cs="Times New Roman"/>
          <w:b w:val="0"/>
          <w:bCs/>
          <w:sz w:val="24"/>
          <w:szCs w:val="24"/>
        </w:rPr>
        <w:t xml:space="preserve"> </w:t>
      </w:r>
      <w:r w:rsidR="002B775E" w:rsidRPr="009E4304">
        <w:rPr>
          <w:rFonts w:cs="Times New Roman"/>
          <w:b w:val="0"/>
          <w:bCs/>
          <w:sz w:val="24"/>
          <w:szCs w:val="24"/>
        </w:rPr>
        <w:t xml:space="preserve">pkt, gdy </w:t>
      </w:r>
      <w:r w:rsidRPr="009E4304">
        <w:rPr>
          <w:rFonts w:cs="Times New Roman"/>
          <w:b w:val="0"/>
          <w:bCs/>
          <w:sz w:val="24"/>
          <w:szCs w:val="24"/>
        </w:rPr>
        <w:t xml:space="preserve"> przygotowano biznes plan lub model biznesowy spółki </w:t>
      </w:r>
      <w:r w:rsidR="00F77D55">
        <w:rPr>
          <w:rFonts w:cs="Times New Roman"/>
          <w:b w:val="0"/>
          <w:bCs/>
          <w:sz w:val="24"/>
          <w:szCs w:val="24"/>
        </w:rPr>
        <w:t xml:space="preserve">i jest on </w:t>
      </w:r>
      <w:r w:rsidR="00401DA1">
        <w:rPr>
          <w:rFonts w:cs="Times New Roman"/>
          <w:b w:val="0"/>
          <w:bCs/>
          <w:sz w:val="24"/>
          <w:szCs w:val="24"/>
        </w:rPr>
        <w:t xml:space="preserve">pozytywnie </w:t>
      </w:r>
      <w:r w:rsidR="00F77D55">
        <w:rPr>
          <w:rFonts w:cs="Times New Roman"/>
          <w:b w:val="0"/>
          <w:bCs/>
          <w:sz w:val="24"/>
          <w:szCs w:val="24"/>
        </w:rPr>
        <w:t xml:space="preserve">zaopiniowany przez </w:t>
      </w:r>
      <w:proofErr w:type="spellStart"/>
      <w:r w:rsidR="00F77D55">
        <w:rPr>
          <w:rFonts w:cs="Times New Roman"/>
          <w:b w:val="0"/>
          <w:bCs/>
          <w:sz w:val="24"/>
          <w:szCs w:val="24"/>
        </w:rPr>
        <w:t>InnoCel</w:t>
      </w:r>
      <w:proofErr w:type="spellEnd"/>
      <w:r w:rsidR="00F77D55">
        <w:rPr>
          <w:rFonts w:cs="Times New Roman"/>
          <w:b w:val="0"/>
          <w:bCs/>
          <w:sz w:val="24"/>
          <w:szCs w:val="24"/>
        </w:rPr>
        <w:t xml:space="preserve"> </w:t>
      </w:r>
      <w:r w:rsidRPr="009E4304">
        <w:rPr>
          <w:rFonts w:cs="Times New Roman"/>
          <w:b w:val="0"/>
          <w:bCs/>
          <w:sz w:val="24"/>
          <w:szCs w:val="24"/>
        </w:rPr>
        <w:t xml:space="preserve">– należy go dołączyć do wniosku, </w:t>
      </w:r>
      <w:r w:rsidR="00F15634">
        <w:rPr>
          <w:rFonts w:cs="Times New Roman"/>
          <w:b w:val="0"/>
          <w:bCs/>
          <w:sz w:val="24"/>
          <w:szCs w:val="24"/>
        </w:rPr>
        <w:t>4</w:t>
      </w:r>
      <w:r w:rsidR="00F15634" w:rsidRPr="009E4304">
        <w:rPr>
          <w:rFonts w:cs="Times New Roman"/>
          <w:b w:val="0"/>
          <w:bCs/>
          <w:sz w:val="24"/>
          <w:szCs w:val="24"/>
        </w:rPr>
        <w:t xml:space="preserve"> </w:t>
      </w:r>
      <w:r w:rsidR="002B775E" w:rsidRPr="009E4304">
        <w:rPr>
          <w:rFonts w:cs="Times New Roman"/>
          <w:b w:val="0"/>
          <w:bCs/>
          <w:sz w:val="24"/>
          <w:szCs w:val="24"/>
        </w:rPr>
        <w:t>pkt, gdy</w:t>
      </w:r>
      <w:r w:rsidRPr="009E4304">
        <w:rPr>
          <w:rFonts w:cs="Times New Roman"/>
          <w:b w:val="0"/>
          <w:bCs/>
          <w:sz w:val="24"/>
          <w:szCs w:val="24"/>
        </w:rPr>
        <w:t xml:space="preserve"> istnieje potencjalny inwestor – należy dołączyć </w:t>
      </w:r>
      <w:r w:rsidR="00677103" w:rsidRPr="001E3E54">
        <w:rPr>
          <w:rFonts w:cs="Times New Roman"/>
          <w:b w:val="0"/>
          <w:bCs/>
          <w:i/>
          <w:iCs/>
          <w:sz w:val="24"/>
          <w:szCs w:val="24"/>
        </w:rPr>
        <w:t xml:space="preserve">term </w:t>
      </w:r>
      <w:proofErr w:type="spellStart"/>
      <w:r w:rsidR="00677103" w:rsidRPr="001E3E54">
        <w:rPr>
          <w:rFonts w:cs="Times New Roman"/>
          <w:b w:val="0"/>
          <w:bCs/>
          <w:i/>
          <w:iCs/>
          <w:sz w:val="24"/>
          <w:szCs w:val="24"/>
        </w:rPr>
        <w:t>sheet</w:t>
      </w:r>
      <w:proofErr w:type="spellEnd"/>
      <w:r w:rsidR="00677103" w:rsidRPr="009E4304">
        <w:rPr>
          <w:rFonts w:cs="Times New Roman"/>
          <w:b w:val="0"/>
          <w:bCs/>
          <w:sz w:val="24"/>
          <w:szCs w:val="24"/>
        </w:rPr>
        <w:t xml:space="preserve"> </w:t>
      </w:r>
      <w:r w:rsidR="00240A51" w:rsidRPr="009E4304">
        <w:rPr>
          <w:rFonts w:cs="Times New Roman"/>
          <w:b w:val="0"/>
          <w:bCs/>
          <w:sz w:val="24"/>
          <w:szCs w:val="24"/>
        </w:rPr>
        <w:t>lub inny dokument potwierdzający planowaną inwestycję kapitałową</w:t>
      </w:r>
      <w:r w:rsidR="00B07291">
        <w:rPr>
          <w:rFonts w:cs="Times New Roman"/>
          <w:b w:val="0"/>
          <w:bCs/>
          <w:sz w:val="24"/>
          <w:szCs w:val="24"/>
        </w:rPr>
        <w:t xml:space="preserve"> i wskazujący na wysokość i </w:t>
      </w:r>
      <w:r w:rsidR="0005478F">
        <w:rPr>
          <w:rFonts w:cs="Times New Roman"/>
          <w:b w:val="0"/>
          <w:bCs/>
          <w:sz w:val="24"/>
          <w:szCs w:val="24"/>
        </w:rPr>
        <w:t xml:space="preserve">ogólne </w:t>
      </w:r>
      <w:r w:rsidR="00B07291">
        <w:rPr>
          <w:rFonts w:cs="Times New Roman"/>
          <w:b w:val="0"/>
          <w:bCs/>
          <w:sz w:val="24"/>
          <w:szCs w:val="24"/>
        </w:rPr>
        <w:t>warunki tej inwestycji</w:t>
      </w:r>
      <w:r w:rsidR="005457E3" w:rsidRPr="009E4304">
        <w:rPr>
          <w:rFonts w:cs="Times New Roman"/>
          <w:b w:val="0"/>
          <w:bCs/>
          <w:sz w:val="24"/>
          <w:szCs w:val="24"/>
        </w:rPr>
        <w:t>.</w:t>
      </w:r>
      <w:r w:rsidR="00F15634">
        <w:rPr>
          <w:rFonts w:cs="Times New Roman"/>
          <w:b w:val="0"/>
          <w:bCs/>
          <w:sz w:val="24"/>
          <w:szCs w:val="24"/>
        </w:rPr>
        <w:t xml:space="preserve"> Gdy do wniosku zostanie dołączony zarówno model biznesowy</w:t>
      </w:r>
      <w:r w:rsidR="00B07291">
        <w:rPr>
          <w:rFonts w:cs="Times New Roman"/>
          <w:b w:val="0"/>
          <w:bCs/>
          <w:sz w:val="24"/>
          <w:szCs w:val="24"/>
        </w:rPr>
        <w:t xml:space="preserve"> lub biznes plan oraz dokument potwierdzający planowaną inwestycję kapitałową wówczas </w:t>
      </w:r>
      <w:r w:rsidR="00662AD0">
        <w:rPr>
          <w:rFonts w:cs="Times New Roman"/>
          <w:b w:val="0"/>
          <w:bCs/>
          <w:sz w:val="24"/>
          <w:szCs w:val="24"/>
        </w:rPr>
        <w:t>liczba przyznanych pkt będzie wynosił</w:t>
      </w:r>
      <w:r w:rsidR="008E106A">
        <w:rPr>
          <w:rFonts w:cs="Times New Roman"/>
          <w:b w:val="0"/>
          <w:bCs/>
          <w:sz w:val="24"/>
          <w:szCs w:val="24"/>
        </w:rPr>
        <w:t>a</w:t>
      </w:r>
      <w:r w:rsidR="00662AD0">
        <w:rPr>
          <w:rFonts w:cs="Times New Roman"/>
          <w:b w:val="0"/>
          <w:bCs/>
          <w:sz w:val="24"/>
          <w:szCs w:val="24"/>
        </w:rPr>
        <w:t xml:space="preserve"> 5</w:t>
      </w:r>
      <w:r w:rsidR="00C56FDB">
        <w:rPr>
          <w:rFonts w:cs="Times New Roman"/>
          <w:b w:val="0"/>
          <w:bCs/>
          <w:sz w:val="24"/>
          <w:szCs w:val="24"/>
        </w:rPr>
        <w:t>)</w:t>
      </w:r>
      <w:r w:rsidR="00662AD0">
        <w:rPr>
          <w:rFonts w:cs="Times New Roman"/>
          <w:b w:val="0"/>
          <w:bCs/>
          <w:sz w:val="24"/>
          <w:szCs w:val="24"/>
        </w:rPr>
        <w:t>.</w:t>
      </w:r>
    </w:p>
    <w:p w14:paraId="659B96EB" w14:textId="77777777" w:rsidR="005457E3" w:rsidRPr="009E4304" w:rsidRDefault="005457E3" w:rsidP="009E4304">
      <w:pPr>
        <w:pStyle w:val="Akapitzlist"/>
        <w:spacing w:line="240" w:lineRule="auto"/>
        <w:ind w:left="1080"/>
        <w:jc w:val="both"/>
        <w:rPr>
          <w:rFonts w:cs="Times New Roman"/>
          <w:b w:val="0"/>
          <w:bCs/>
          <w:sz w:val="24"/>
          <w:szCs w:val="24"/>
        </w:rPr>
      </w:pPr>
    </w:p>
    <w:p w14:paraId="070B40D3" w14:textId="3A526F77" w:rsidR="00A53498" w:rsidRPr="009E4304" w:rsidRDefault="006D606E" w:rsidP="64A06855">
      <w:pPr>
        <w:pStyle w:val="Akapitzlist"/>
        <w:numPr>
          <w:ilvl w:val="0"/>
          <w:numId w:val="7"/>
        </w:numPr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64A06855">
        <w:rPr>
          <w:rFonts w:cs="Times New Roman"/>
          <w:b w:val="0"/>
          <w:sz w:val="24"/>
          <w:szCs w:val="24"/>
        </w:rPr>
        <w:t xml:space="preserve">Wniosek zostanie </w:t>
      </w:r>
      <w:r w:rsidR="002F45F2" w:rsidRPr="64A06855">
        <w:rPr>
          <w:rFonts w:cs="Times New Roman"/>
          <w:b w:val="0"/>
          <w:sz w:val="24"/>
          <w:szCs w:val="24"/>
        </w:rPr>
        <w:t xml:space="preserve"> </w:t>
      </w:r>
      <w:r w:rsidR="002847D6" w:rsidRPr="64A06855">
        <w:rPr>
          <w:rFonts w:cs="Times New Roman"/>
          <w:b w:val="0"/>
          <w:sz w:val="24"/>
          <w:szCs w:val="24"/>
        </w:rPr>
        <w:t>przekazany do oceny przez trzech ekspertów</w:t>
      </w:r>
      <w:r w:rsidR="00390647" w:rsidRPr="64A06855">
        <w:rPr>
          <w:rFonts w:cs="Times New Roman"/>
          <w:b w:val="0"/>
          <w:sz w:val="24"/>
          <w:szCs w:val="24"/>
        </w:rPr>
        <w:t xml:space="preserve">, w tym co najmniej jednego </w:t>
      </w:r>
      <w:r w:rsidR="00AC1749" w:rsidRPr="64A06855">
        <w:rPr>
          <w:rFonts w:cs="Times New Roman"/>
          <w:b w:val="0"/>
          <w:sz w:val="24"/>
          <w:szCs w:val="24"/>
        </w:rPr>
        <w:t>eksperta zewnętrznego (spoza UJ) i jednego eksperta wewnętrznego (z UJ)</w:t>
      </w:r>
      <w:r w:rsidR="005F1D18" w:rsidRPr="64A06855">
        <w:rPr>
          <w:rFonts w:cs="Times New Roman"/>
          <w:b w:val="0"/>
          <w:sz w:val="24"/>
          <w:szCs w:val="24"/>
        </w:rPr>
        <w:t xml:space="preserve">. </w:t>
      </w:r>
    </w:p>
    <w:p w14:paraId="18305EF9" w14:textId="5A05476F" w:rsidR="31171DB8" w:rsidRDefault="31171DB8" w:rsidP="64A06855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3117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638"/>
    <w:multiLevelType w:val="hybridMultilevel"/>
    <w:tmpl w:val="1470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53601"/>
    <w:multiLevelType w:val="hybridMultilevel"/>
    <w:tmpl w:val="7B0029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651899"/>
    <w:multiLevelType w:val="hybridMultilevel"/>
    <w:tmpl w:val="194E41B8"/>
    <w:lvl w:ilvl="0" w:tplc="9176B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E37"/>
    <w:multiLevelType w:val="hybridMultilevel"/>
    <w:tmpl w:val="D2801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56F55"/>
    <w:multiLevelType w:val="hybridMultilevel"/>
    <w:tmpl w:val="C53AC15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E17894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953AC"/>
    <w:multiLevelType w:val="hybridMultilevel"/>
    <w:tmpl w:val="71E845F4"/>
    <w:lvl w:ilvl="0" w:tplc="53D45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42B89"/>
    <w:multiLevelType w:val="hybridMultilevel"/>
    <w:tmpl w:val="CF069852"/>
    <w:lvl w:ilvl="0" w:tplc="53D45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2475D3"/>
    <w:multiLevelType w:val="hybridMultilevel"/>
    <w:tmpl w:val="E064F66E"/>
    <w:lvl w:ilvl="0" w:tplc="53D45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tDQysjSzNDM2MDVS0lEKTi0uzszPAykwrQUABC4IeCwAAAA="/>
  </w:docVars>
  <w:rsids>
    <w:rsidRoot w:val="00B82904"/>
    <w:rsid w:val="00001B63"/>
    <w:rsid w:val="00024C55"/>
    <w:rsid w:val="00024E84"/>
    <w:rsid w:val="000303D1"/>
    <w:rsid w:val="00047810"/>
    <w:rsid w:val="0005478F"/>
    <w:rsid w:val="00065295"/>
    <w:rsid w:val="000741D9"/>
    <w:rsid w:val="000752B3"/>
    <w:rsid w:val="001147DC"/>
    <w:rsid w:val="00156069"/>
    <w:rsid w:val="001E3E54"/>
    <w:rsid w:val="001F6C52"/>
    <w:rsid w:val="00230711"/>
    <w:rsid w:val="0024093C"/>
    <w:rsid w:val="00240A51"/>
    <w:rsid w:val="002847D6"/>
    <w:rsid w:val="002B775E"/>
    <w:rsid w:val="002D5913"/>
    <w:rsid w:val="002F45F2"/>
    <w:rsid w:val="003075F3"/>
    <w:rsid w:val="003529D8"/>
    <w:rsid w:val="003833D6"/>
    <w:rsid w:val="00390647"/>
    <w:rsid w:val="003C06C2"/>
    <w:rsid w:val="003D3744"/>
    <w:rsid w:val="003E2C51"/>
    <w:rsid w:val="00401DA1"/>
    <w:rsid w:val="004B1CEE"/>
    <w:rsid w:val="004C54DE"/>
    <w:rsid w:val="004E00B0"/>
    <w:rsid w:val="005457E3"/>
    <w:rsid w:val="005A0000"/>
    <w:rsid w:val="005F1D18"/>
    <w:rsid w:val="006251FC"/>
    <w:rsid w:val="00662AD0"/>
    <w:rsid w:val="00677103"/>
    <w:rsid w:val="006D606E"/>
    <w:rsid w:val="006E4712"/>
    <w:rsid w:val="006F3DBD"/>
    <w:rsid w:val="007879FF"/>
    <w:rsid w:val="007A096D"/>
    <w:rsid w:val="008E106A"/>
    <w:rsid w:val="00965A4B"/>
    <w:rsid w:val="009829DA"/>
    <w:rsid w:val="009C5796"/>
    <w:rsid w:val="009E4304"/>
    <w:rsid w:val="00A0693F"/>
    <w:rsid w:val="00A12BBD"/>
    <w:rsid w:val="00A140E6"/>
    <w:rsid w:val="00A53498"/>
    <w:rsid w:val="00A852AB"/>
    <w:rsid w:val="00AC1749"/>
    <w:rsid w:val="00B07291"/>
    <w:rsid w:val="00B27611"/>
    <w:rsid w:val="00B82904"/>
    <w:rsid w:val="00B8405C"/>
    <w:rsid w:val="00BC3D4B"/>
    <w:rsid w:val="00C54C19"/>
    <w:rsid w:val="00C56FDB"/>
    <w:rsid w:val="00C64150"/>
    <w:rsid w:val="00CC56D5"/>
    <w:rsid w:val="00D50392"/>
    <w:rsid w:val="00D532D7"/>
    <w:rsid w:val="00D6298E"/>
    <w:rsid w:val="00E37A7A"/>
    <w:rsid w:val="00EF7CCC"/>
    <w:rsid w:val="00F15634"/>
    <w:rsid w:val="00F31F0B"/>
    <w:rsid w:val="00F74D72"/>
    <w:rsid w:val="00F77D55"/>
    <w:rsid w:val="31171DB8"/>
    <w:rsid w:val="64A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9D"/>
  <w15:chartTrackingRefBased/>
  <w15:docId w15:val="{A8DCDF7C-940E-46F4-9C44-9BF7A138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6D5"/>
    <w:pPr>
      <w:spacing w:after="120" w:line="276" w:lineRule="auto"/>
      <w:ind w:left="340"/>
      <w:contextualSpacing/>
    </w:pPr>
    <w:rPr>
      <w:rFonts w:eastAsiaTheme="minorEastAsia"/>
      <w:b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0F3350-5F42-498C-9A26-89F32D244C9C}"/>
</file>

<file path=customXml/itemProps2.xml><?xml version="1.0" encoding="utf-8"?>
<ds:datastoreItem xmlns:ds="http://schemas.openxmlformats.org/officeDocument/2006/customXml" ds:itemID="{9F4BFC87-C676-4A07-9094-2F3263FAC13F}"/>
</file>

<file path=customXml/itemProps3.xml><?xml version="1.0" encoding="utf-8"?>
<ds:datastoreItem xmlns:ds="http://schemas.openxmlformats.org/officeDocument/2006/customXml" ds:itemID="{1EE8E517-EAF6-44EC-8EB7-1FFB47705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Konopka-Cupiał</dc:creator>
  <cp:keywords/>
  <dc:description/>
  <cp:lastModifiedBy>Krystian Gurba</cp:lastModifiedBy>
  <cp:revision>28</cp:revision>
  <cp:lastPrinted>2021-08-12T07:34:00Z</cp:lastPrinted>
  <dcterms:created xsi:type="dcterms:W3CDTF">2021-07-22T12:23:00Z</dcterms:created>
  <dcterms:modified xsi:type="dcterms:W3CDTF">2022-04-25T10:37:00Z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