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87" w:rsidRPr="00DC7E81" w:rsidRDefault="00106287" w:rsidP="00106287">
      <w:pPr>
        <w:rPr>
          <w:sz w:val="20"/>
        </w:rPr>
      </w:pPr>
    </w:p>
    <w:p w:rsidR="00106287" w:rsidRPr="00DC7E81" w:rsidRDefault="00106287" w:rsidP="00106287">
      <w:pPr>
        <w:rPr>
          <w:sz w:val="20"/>
        </w:rPr>
      </w:pPr>
      <w:r w:rsidRPr="00DC7E81">
        <w:rPr>
          <w:sz w:val="20"/>
        </w:rPr>
        <w:t>Załącznik nr 1 do Regulamin Rady Inwestycyjnej działającej na rzecz proj</w:t>
      </w:r>
      <w:r w:rsidRPr="00DC7E81">
        <w:rPr>
          <w:rFonts w:cs="Calibri"/>
          <w:sz w:val="20"/>
        </w:rPr>
        <w:t>ektu „Inkubator Innowacyjności 2.0”.</w:t>
      </w:r>
    </w:p>
    <w:p w:rsidR="00106287" w:rsidRDefault="00106287" w:rsidP="00106287"/>
    <w:p w:rsidR="00106287" w:rsidRDefault="00106287" w:rsidP="00106287">
      <w:r>
        <w:t xml:space="preserve">Wykaz </w:t>
      </w:r>
      <w:r w:rsidRPr="00947FC4">
        <w:t>działań realizowanych w ramach Projektu</w:t>
      </w:r>
      <w:r>
        <w:t xml:space="preserve"> Inkubator Innowacyjności 2.0</w:t>
      </w:r>
    </w:p>
    <w:p w:rsidR="00617176" w:rsidRDefault="00617176" w:rsidP="00B43B1A">
      <w:pPr>
        <w:spacing w:line="312" w:lineRule="auto"/>
        <w:rPr>
          <w:sz w:val="22"/>
          <w:szCs w:val="22"/>
        </w:rPr>
      </w:pPr>
    </w:p>
    <w:p w:rsidR="00617176" w:rsidRDefault="00617176" w:rsidP="00B43B1A">
      <w:pPr>
        <w:spacing w:line="312" w:lineRule="auto"/>
        <w:rPr>
          <w:sz w:val="22"/>
          <w:szCs w:val="22"/>
        </w:rPr>
      </w:pPr>
    </w:p>
    <w:p w:rsidR="00617176" w:rsidRPr="005D120B" w:rsidRDefault="00617176" w:rsidP="00F05EAE">
      <w:pPr>
        <w:keepNext/>
        <w:rPr>
          <w:vanish/>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7"/>
        <w:gridCol w:w="3296"/>
      </w:tblGrid>
      <w:tr w:rsidR="00617176" w:rsidRPr="0097346E" w:rsidTr="00EB711A">
        <w:tc>
          <w:tcPr>
            <w:tcW w:w="5000" w:type="pct"/>
            <w:gridSpan w:val="2"/>
            <w:shd w:val="clear" w:color="auto" w:fill="B8CCE4"/>
          </w:tcPr>
          <w:p w:rsidR="00617176" w:rsidRPr="0097346E" w:rsidRDefault="00617176" w:rsidP="00F05EAE">
            <w:pPr>
              <w:keepNext/>
              <w:spacing w:before="60" w:line="276" w:lineRule="auto"/>
              <w:ind w:left="426"/>
              <w:jc w:val="both"/>
              <w:rPr>
                <w:szCs w:val="24"/>
                <w:lang w:eastAsia="pl-PL"/>
              </w:rPr>
            </w:pPr>
          </w:p>
          <w:p w:rsidR="00617176" w:rsidRDefault="00617176" w:rsidP="00EB711A">
            <w:pPr>
              <w:keepNext/>
              <w:spacing w:before="60" w:line="276" w:lineRule="auto"/>
              <w:jc w:val="both"/>
              <w:rPr>
                <w:szCs w:val="24"/>
                <w:lang w:eastAsia="pl-PL"/>
              </w:rPr>
            </w:pPr>
            <w:r>
              <w:rPr>
                <w:szCs w:val="24"/>
                <w:lang w:eastAsia="pl-PL"/>
              </w:rPr>
              <w:t xml:space="preserve">Zadanie 1. </w:t>
            </w:r>
            <w:r w:rsidRPr="0097346E">
              <w:rPr>
                <w:szCs w:val="24"/>
                <w:lang w:eastAsia="pl-PL"/>
              </w:rPr>
              <w:t>Inicjowanie oraz wzmacnianie współpracy</w:t>
            </w:r>
            <w:r>
              <w:rPr>
                <w:szCs w:val="24"/>
                <w:lang w:eastAsia="pl-PL"/>
              </w:rPr>
              <w:t xml:space="preserve"> między środowiskiem naukowym a </w:t>
            </w:r>
            <w:r w:rsidRPr="0097346E">
              <w:rPr>
                <w:szCs w:val="24"/>
                <w:lang w:eastAsia="pl-PL"/>
              </w:rPr>
              <w:t>otoczeniem gospodarczym, w tym poszukiwanie podmiotów zainteresowanych wdrożeniem wyników badań naukowych i prac rozwojowych, przez promocję oferty technologicznej oraz udział w wystawach i targach typu „science to business”</w:t>
            </w:r>
            <w:r>
              <w:rPr>
                <w:szCs w:val="24"/>
                <w:lang w:eastAsia="pl-PL"/>
              </w:rPr>
              <w:t xml:space="preserve"> </w:t>
            </w:r>
            <w:bookmarkStart w:id="0" w:name="_GoBack"/>
            <w:bookmarkEnd w:id="0"/>
          </w:p>
          <w:p w:rsidR="00EB711A" w:rsidRPr="00EB711A" w:rsidRDefault="00EB711A" w:rsidP="00EB711A">
            <w:pPr>
              <w:keepNext/>
              <w:spacing w:before="60" w:line="276" w:lineRule="auto"/>
              <w:jc w:val="both"/>
              <w:rPr>
                <w:szCs w:val="24"/>
                <w:lang w:eastAsia="pl-PL"/>
              </w:rPr>
            </w:pPr>
          </w:p>
        </w:tc>
      </w:tr>
      <w:tr w:rsidR="00106287" w:rsidRPr="00A44C51" w:rsidTr="00EB711A">
        <w:tc>
          <w:tcPr>
            <w:tcW w:w="3339" w:type="pct"/>
            <w:shd w:val="clear" w:color="auto" w:fill="B8CCE4"/>
            <w:vAlign w:val="center"/>
          </w:tcPr>
          <w:p w:rsidR="00EB711A" w:rsidRPr="00EB711A" w:rsidRDefault="00B3660D" w:rsidP="00EB711A">
            <w:pPr>
              <w:spacing w:before="60" w:line="276" w:lineRule="auto"/>
              <w:jc w:val="center"/>
              <w:rPr>
                <w:szCs w:val="24"/>
                <w:lang w:eastAsia="pl-PL"/>
              </w:rPr>
            </w:pPr>
            <w:r>
              <w:rPr>
                <w:noProof/>
                <w:szCs w:val="24"/>
                <w:lang w:eastAsia="pl-PL"/>
              </w:rPr>
              <w:drawing>
                <wp:anchor distT="0" distB="0" distL="114300" distR="114300" simplePos="0" relativeHeight="251658240" behindDoc="0" locked="0" layoutInCell="1" allowOverlap="1">
                  <wp:simplePos x="0" y="0"/>
                  <wp:positionH relativeFrom="column">
                    <wp:posOffset>361315</wp:posOffset>
                  </wp:positionH>
                  <wp:positionV relativeFrom="paragraph">
                    <wp:posOffset>9822815</wp:posOffset>
                  </wp:positionV>
                  <wp:extent cx="1426845" cy="404495"/>
                  <wp:effectExtent l="0" t="0" r="1905" b="0"/>
                  <wp:wrapNone/>
                  <wp:docPr id="10" name="Obraz 10"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404495"/>
                          </a:xfrm>
                          <a:prstGeom prst="rect">
                            <a:avLst/>
                          </a:prstGeom>
                          <a:noFill/>
                        </pic:spPr>
                      </pic:pic>
                    </a:graphicData>
                  </a:graphic>
                  <wp14:sizeRelH relativeFrom="page">
                    <wp14:pctWidth>0</wp14:pctWidth>
                  </wp14:sizeRelH>
                  <wp14:sizeRelV relativeFrom="page">
                    <wp14:pctHeight>0</wp14:pctHeight>
                  </wp14:sizeRelV>
                </wp:anchor>
              </w:drawing>
            </w:r>
            <w:r w:rsidR="00106287" w:rsidRPr="00A44C51">
              <w:rPr>
                <w:szCs w:val="24"/>
                <w:lang w:eastAsia="pl-PL"/>
              </w:rPr>
              <w:t>Planowane działania służące realizacji tego zadania</w:t>
            </w:r>
          </w:p>
        </w:tc>
        <w:tc>
          <w:tcPr>
            <w:tcW w:w="1661" w:type="pct"/>
            <w:shd w:val="clear" w:color="auto" w:fill="B8CCE4"/>
            <w:vAlign w:val="center"/>
          </w:tcPr>
          <w:p w:rsidR="00106287" w:rsidRPr="00A44C51" w:rsidRDefault="00106287" w:rsidP="00812609">
            <w:pPr>
              <w:spacing w:before="60" w:line="276" w:lineRule="auto"/>
              <w:jc w:val="center"/>
              <w:rPr>
                <w:szCs w:val="24"/>
                <w:lang w:eastAsia="pl-PL"/>
              </w:rPr>
            </w:pPr>
            <w:r w:rsidRPr="00A44C51">
              <w:rPr>
                <w:szCs w:val="24"/>
                <w:lang w:eastAsia="pl-PL"/>
              </w:rPr>
              <w:t>Planowany termin realizacji działań</w:t>
            </w:r>
          </w:p>
        </w:tc>
      </w:tr>
      <w:tr w:rsidR="00106287" w:rsidRPr="00A44C51" w:rsidTr="00EB711A">
        <w:trPr>
          <w:trHeight w:val="1028"/>
        </w:trPr>
        <w:tc>
          <w:tcPr>
            <w:tcW w:w="3339" w:type="pct"/>
            <w:vAlign w:val="center"/>
          </w:tcPr>
          <w:p w:rsidR="00106287" w:rsidRDefault="00106287" w:rsidP="004F5B3D">
            <w:pPr>
              <w:jc w:val="both"/>
              <w:rPr>
                <w:szCs w:val="24"/>
              </w:rPr>
            </w:pPr>
            <w:r w:rsidRPr="00B87961">
              <w:rPr>
                <w:szCs w:val="24"/>
              </w:rPr>
              <w:t xml:space="preserve">Przygotowanie </w:t>
            </w:r>
            <w:r>
              <w:rPr>
                <w:szCs w:val="24"/>
              </w:rPr>
              <w:t xml:space="preserve">różnego rodzaju </w:t>
            </w:r>
            <w:r w:rsidRPr="0025154D">
              <w:rPr>
                <w:b/>
                <w:szCs w:val="24"/>
              </w:rPr>
              <w:t>narzędzi promocyjnych</w:t>
            </w:r>
            <w:r w:rsidRPr="00B87961">
              <w:rPr>
                <w:szCs w:val="24"/>
              </w:rPr>
              <w:t xml:space="preserve"> </w:t>
            </w:r>
            <w:r w:rsidRPr="00B87961">
              <w:rPr>
                <w:b/>
                <w:szCs w:val="24"/>
              </w:rPr>
              <w:t xml:space="preserve">dla </w:t>
            </w:r>
            <w:r>
              <w:rPr>
                <w:b/>
                <w:szCs w:val="24"/>
              </w:rPr>
              <w:t>innowacyjnych technologii, rozwiązań i oferty badawczej</w:t>
            </w:r>
            <w:r w:rsidRPr="00B87961">
              <w:rPr>
                <w:szCs w:val="24"/>
              </w:rPr>
              <w:t xml:space="preserve"> </w:t>
            </w:r>
            <w:r>
              <w:rPr>
                <w:szCs w:val="24"/>
              </w:rPr>
              <w:t xml:space="preserve">UJ i/lub </w:t>
            </w:r>
            <w:r w:rsidRPr="00B87961">
              <w:rPr>
                <w:szCs w:val="24"/>
              </w:rPr>
              <w:t>UEK. Ich forma i treść będzie dostosowana do specyfiki danej oferty bada</w:t>
            </w:r>
            <w:r>
              <w:rPr>
                <w:szCs w:val="24"/>
              </w:rPr>
              <w:t>wczej oraz miejsca i sposobu ich wykorzystania. W ramach zadania możliwe będzie przygotowanie takich narzędzi jak: oferty technologiczne, oferty badań zleconych, prezentacje multimedialne, materiały graficzne, zdjęcia, filmy, publikacje, raporty branżowe, notki i wpisy w mediach społecznościowych prowadzonych przez UJ i UEK, itp.</w:t>
            </w:r>
          </w:p>
          <w:p w:rsidR="00106287" w:rsidRPr="00B87961" w:rsidRDefault="00106287" w:rsidP="004F5B3D">
            <w:pPr>
              <w:jc w:val="both"/>
              <w:rPr>
                <w:szCs w:val="24"/>
              </w:rPr>
            </w:pPr>
          </w:p>
          <w:p w:rsidR="00106287" w:rsidRDefault="00106287" w:rsidP="00792532">
            <w:pPr>
              <w:jc w:val="both"/>
              <w:rPr>
                <w:szCs w:val="24"/>
              </w:rPr>
            </w:pPr>
            <w:r w:rsidRPr="00B87961">
              <w:rPr>
                <w:szCs w:val="24"/>
              </w:rPr>
              <w:t>W ramach działania zostaną</w:t>
            </w:r>
            <w:r>
              <w:rPr>
                <w:szCs w:val="24"/>
              </w:rPr>
              <w:t xml:space="preserve"> sfinansowane np.:</w:t>
            </w:r>
            <w:r w:rsidRPr="00B87961">
              <w:rPr>
                <w:szCs w:val="24"/>
              </w:rPr>
              <w:t xml:space="preserve"> </w:t>
            </w:r>
            <w:r>
              <w:rPr>
                <w:szCs w:val="24"/>
              </w:rPr>
              <w:t xml:space="preserve">usługi związane z projektem graficznym, wydrukiem oferty UEK będącej efektem działań w ramach poprzedniego projektu </w:t>
            </w:r>
            <w:proofErr w:type="spellStart"/>
            <w:r>
              <w:rPr>
                <w:szCs w:val="24"/>
              </w:rPr>
              <w:t>MNiSW</w:t>
            </w:r>
            <w:proofErr w:type="spellEnd"/>
            <w:r>
              <w:rPr>
                <w:szCs w:val="24"/>
              </w:rPr>
              <w:t xml:space="preserve"> </w:t>
            </w:r>
            <w:r w:rsidRPr="00D65AD8">
              <w:rPr>
                <w:i/>
                <w:szCs w:val="24"/>
              </w:rPr>
              <w:t>„Inkubator Innowacyjności +”</w:t>
            </w:r>
            <w:r>
              <w:rPr>
                <w:szCs w:val="24"/>
              </w:rPr>
              <w:t xml:space="preserve"> oraz oferty nowych innowacyjnych rozwiązań. Szczególny nacisk położony zostanie na pozycjonowanie oferty w Internecie.</w:t>
            </w:r>
          </w:p>
          <w:p w:rsidR="00106287" w:rsidRPr="00B87961" w:rsidRDefault="00106287" w:rsidP="00792532">
            <w:pPr>
              <w:jc w:val="both"/>
              <w:rPr>
                <w:szCs w:val="24"/>
              </w:rPr>
            </w:pPr>
            <w:r>
              <w:rPr>
                <w:szCs w:val="24"/>
              </w:rPr>
              <w:t>M</w:t>
            </w:r>
            <w:r w:rsidRPr="00B87961">
              <w:rPr>
                <w:szCs w:val="24"/>
              </w:rPr>
              <w:t xml:space="preserve">ateriały </w:t>
            </w:r>
            <w:r>
              <w:rPr>
                <w:szCs w:val="24"/>
              </w:rPr>
              <w:t>posłużą</w:t>
            </w:r>
            <w:r w:rsidRPr="00B87961">
              <w:rPr>
                <w:szCs w:val="24"/>
              </w:rPr>
              <w:t xml:space="preserve"> do opracowania narzędzi promocyjnych (np. </w:t>
            </w:r>
            <w:r>
              <w:rPr>
                <w:szCs w:val="24"/>
              </w:rPr>
              <w:t>ulotki, filmiki</w:t>
            </w:r>
            <w:r w:rsidRPr="00B87961">
              <w:rPr>
                <w:szCs w:val="24"/>
              </w:rPr>
              <w:t xml:space="preserve"> itp.). </w:t>
            </w:r>
            <w:r>
              <w:rPr>
                <w:szCs w:val="24"/>
              </w:rPr>
              <w:t>Narzędzi w wersji elektronicznej posłużą promowaniu oferty w Internecie (pozycjonowanie) oraz wśród podmiotów potencjalnie zainteresowanych praktycznym wykorzystaniem oferowanych rozwiązań. Wersje</w:t>
            </w:r>
            <w:r w:rsidRPr="00B87961">
              <w:rPr>
                <w:szCs w:val="24"/>
              </w:rPr>
              <w:t xml:space="preserve"> drukowan</w:t>
            </w:r>
            <w:r>
              <w:rPr>
                <w:szCs w:val="24"/>
              </w:rPr>
              <w:t>e wykorzystywane będą</w:t>
            </w:r>
            <w:r w:rsidRPr="00B87961">
              <w:rPr>
                <w:szCs w:val="24"/>
              </w:rPr>
              <w:t xml:space="preserve"> do dystrybucji podczas </w:t>
            </w:r>
            <w:r>
              <w:rPr>
                <w:szCs w:val="24"/>
              </w:rPr>
              <w:t>targów oraz spotkań branżowych,</w:t>
            </w:r>
            <w:r w:rsidRPr="00B87961">
              <w:rPr>
                <w:szCs w:val="24"/>
              </w:rPr>
              <w:t xml:space="preserve"> indywidualnych</w:t>
            </w:r>
            <w:r>
              <w:rPr>
                <w:szCs w:val="24"/>
              </w:rPr>
              <w:t xml:space="preserve"> i wizyt studyjnych</w:t>
            </w:r>
            <w:r w:rsidRPr="00B87961">
              <w:rPr>
                <w:szCs w:val="24"/>
              </w:rPr>
              <w:t xml:space="preserve">. </w:t>
            </w:r>
          </w:p>
          <w:p w:rsidR="00106287" w:rsidRDefault="00106287" w:rsidP="0042430B">
            <w:pPr>
              <w:jc w:val="both"/>
              <w:rPr>
                <w:szCs w:val="24"/>
              </w:rPr>
            </w:pPr>
          </w:p>
          <w:p w:rsidR="00106287" w:rsidRDefault="00106287" w:rsidP="006F783C">
            <w:pPr>
              <w:jc w:val="both"/>
              <w:rPr>
                <w:szCs w:val="24"/>
              </w:rPr>
            </w:pPr>
            <w:r>
              <w:rPr>
                <w:szCs w:val="24"/>
              </w:rPr>
              <w:t xml:space="preserve">W ramach zadania przygotowane zostaną </w:t>
            </w:r>
            <w:r>
              <w:rPr>
                <w:b/>
                <w:szCs w:val="24"/>
              </w:rPr>
              <w:t>artykuły</w:t>
            </w:r>
            <w:r>
              <w:rPr>
                <w:szCs w:val="24"/>
              </w:rPr>
              <w:t xml:space="preserve"> na temat wybranych</w:t>
            </w:r>
            <w:r w:rsidRPr="00B87961">
              <w:rPr>
                <w:szCs w:val="24"/>
              </w:rPr>
              <w:t xml:space="preserve"> </w:t>
            </w:r>
            <w:r>
              <w:rPr>
                <w:szCs w:val="24"/>
              </w:rPr>
              <w:t xml:space="preserve">wynalazków i/lub </w:t>
            </w:r>
            <w:r w:rsidRPr="00B87961">
              <w:rPr>
                <w:szCs w:val="24"/>
              </w:rPr>
              <w:t xml:space="preserve">ofert usług badawczych </w:t>
            </w:r>
            <w:r>
              <w:rPr>
                <w:szCs w:val="24"/>
              </w:rPr>
              <w:t xml:space="preserve">UJ i/lub </w:t>
            </w:r>
            <w:r w:rsidRPr="00B87961">
              <w:rPr>
                <w:szCs w:val="24"/>
              </w:rPr>
              <w:lastRenderedPageBreak/>
              <w:t>UEK</w:t>
            </w:r>
            <w:r>
              <w:rPr>
                <w:szCs w:val="24"/>
              </w:rPr>
              <w:t xml:space="preserve">. Zostaną one opublikowane </w:t>
            </w:r>
            <w:r w:rsidRPr="00B87961">
              <w:rPr>
                <w:szCs w:val="24"/>
              </w:rPr>
              <w:t xml:space="preserve">w polskich lub zagranicznych czasopismach lub portalach branżowych skierowanych do firm, np. Przemysł Chemiczny, Nowy Przemysł, Portal Innowacji, itp. Ich celem będzie promocja innowacyjnych </w:t>
            </w:r>
            <w:r>
              <w:rPr>
                <w:szCs w:val="24"/>
              </w:rPr>
              <w:t>technologii</w:t>
            </w:r>
            <w:r w:rsidRPr="00B87961">
              <w:rPr>
                <w:szCs w:val="24"/>
              </w:rPr>
              <w:t xml:space="preserve"> i ofert badań zleconych,  potencjału usługowego uczelni oraz do</w:t>
            </w:r>
            <w:r>
              <w:rPr>
                <w:szCs w:val="24"/>
              </w:rPr>
              <w:t>tarcie do potencjalnych nabywców</w:t>
            </w:r>
            <w:r w:rsidRPr="00B87961">
              <w:rPr>
                <w:szCs w:val="24"/>
              </w:rPr>
              <w:t xml:space="preserve">. Autorami publikacji będą brokerzy innowacji </w:t>
            </w:r>
            <w:r>
              <w:rPr>
                <w:szCs w:val="24"/>
              </w:rPr>
              <w:t xml:space="preserve">UJ i/lub </w:t>
            </w:r>
            <w:r w:rsidRPr="00B87961">
              <w:rPr>
                <w:szCs w:val="24"/>
              </w:rPr>
              <w:t xml:space="preserve">UEK wraz z twórcami opisywanych </w:t>
            </w:r>
            <w:r>
              <w:rPr>
                <w:szCs w:val="24"/>
              </w:rPr>
              <w:t>rozwiązań</w:t>
            </w:r>
            <w:r w:rsidRPr="00B87961">
              <w:rPr>
                <w:szCs w:val="24"/>
              </w:rPr>
              <w:t xml:space="preserve"> </w:t>
            </w:r>
            <w:r>
              <w:rPr>
                <w:szCs w:val="24"/>
              </w:rPr>
              <w:t>i wykonawcami usług badawczych.</w:t>
            </w:r>
          </w:p>
          <w:p w:rsidR="00106287" w:rsidRDefault="00106287" w:rsidP="006F783C">
            <w:pPr>
              <w:jc w:val="both"/>
              <w:rPr>
                <w:szCs w:val="24"/>
              </w:rPr>
            </w:pPr>
          </w:p>
          <w:p w:rsidR="00106287" w:rsidRDefault="00106287" w:rsidP="006F783C">
            <w:pPr>
              <w:jc w:val="both"/>
              <w:rPr>
                <w:szCs w:val="24"/>
              </w:rPr>
            </w:pPr>
            <w:r>
              <w:rPr>
                <w:szCs w:val="24"/>
              </w:rPr>
              <w:t xml:space="preserve">Innym rodzajem narzędzi promocyjnych możliwych do opracowania w ramach tego zadania będą </w:t>
            </w:r>
            <w:r>
              <w:rPr>
                <w:b/>
                <w:szCs w:val="24"/>
              </w:rPr>
              <w:t>raporty dotyczące</w:t>
            </w:r>
            <w:r w:rsidRPr="009A0B6D">
              <w:rPr>
                <w:b/>
                <w:szCs w:val="24"/>
              </w:rPr>
              <w:t xml:space="preserve"> najbardziej pożądanych przez firmy kierunków badawczych</w:t>
            </w:r>
            <w:r>
              <w:rPr>
                <w:szCs w:val="24"/>
              </w:rPr>
              <w:t>. Raporty zostaną opracowane n</w:t>
            </w:r>
            <w:r w:rsidRPr="009A0B6D">
              <w:rPr>
                <w:szCs w:val="24"/>
              </w:rPr>
              <w:t>a podstawie informacji zebranych podczas targów, konferencji biznesowych, spotkań branżowych oraz indywidualnych</w:t>
            </w:r>
            <w:r>
              <w:rPr>
                <w:szCs w:val="24"/>
              </w:rPr>
              <w:t xml:space="preserve"> z potencjalnymi partnerami biznesowymi. </w:t>
            </w:r>
            <w:r w:rsidRPr="009A0B6D">
              <w:rPr>
                <w:szCs w:val="24"/>
              </w:rPr>
              <w:t>Raporty te zostaną opublikowane w wersji elektronicznej</w:t>
            </w:r>
            <w:r>
              <w:rPr>
                <w:szCs w:val="24"/>
              </w:rPr>
              <w:t xml:space="preserve"> w kanałach promocyjnych konsorcjantów oraz, w razie potrzeby, w wybranych mediach branżowych</w:t>
            </w:r>
            <w:r w:rsidRPr="009A0B6D">
              <w:rPr>
                <w:szCs w:val="24"/>
              </w:rPr>
              <w:t>.</w:t>
            </w:r>
          </w:p>
          <w:p w:rsidR="00106287" w:rsidRDefault="00106287" w:rsidP="006F783C">
            <w:pPr>
              <w:jc w:val="both"/>
              <w:rPr>
                <w:szCs w:val="24"/>
              </w:rPr>
            </w:pPr>
          </w:p>
          <w:p w:rsidR="00106287" w:rsidRPr="00B87961" w:rsidRDefault="00106287" w:rsidP="0054273F">
            <w:pPr>
              <w:jc w:val="both"/>
              <w:rPr>
                <w:szCs w:val="24"/>
              </w:rPr>
            </w:pPr>
            <w:r w:rsidRPr="00B87961">
              <w:rPr>
                <w:szCs w:val="24"/>
              </w:rPr>
              <w:t xml:space="preserve">W ramach działania przewiduje się opracowanie przynajmniej </w:t>
            </w:r>
            <w:r>
              <w:rPr>
                <w:szCs w:val="24"/>
              </w:rPr>
              <w:t>50</w:t>
            </w:r>
            <w:r w:rsidRPr="00B87961">
              <w:rPr>
                <w:szCs w:val="24"/>
              </w:rPr>
              <w:t xml:space="preserve"> nowych narzędzi promocyjnych</w:t>
            </w:r>
            <w:r>
              <w:rPr>
                <w:szCs w:val="24"/>
              </w:rPr>
              <w:t xml:space="preserve"> różnego rodzaju. Ponadto przewidziany jest wydruk przynajmniej 500 kompletów ofert UEK oraz zakup narzędzia informatycznego służącego do pozycjonowania stron pod kątem skutecznego dotarcia do potencjalnych odbiorców oferty Uczelni.</w:t>
            </w:r>
          </w:p>
        </w:tc>
        <w:tc>
          <w:tcPr>
            <w:tcW w:w="1661" w:type="pct"/>
          </w:tcPr>
          <w:p w:rsidR="00106287" w:rsidRPr="00A44C51" w:rsidRDefault="00106287" w:rsidP="00993B31">
            <w:pPr>
              <w:spacing w:before="60"/>
              <w:jc w:val="center"/>
              <w:rPr>
                <w:szCs w:val="24"/>
                <w:lang w:eastAsia="pl-PL"/>
              </w:rPr>
            </w:pPr>
            <w:r>
              <w:rPr>
                <w:szCs w:val="24"/>
                <w:lang w:eastAsia="pl-PL"/>
              </w:rPr>
              <w:lastRenderedPageBreak/>
              <w:t>Cały okres realizacji projektu</w:t>
            </w:r>
          </w:p>
        </w:tc>
      </w:tr>
      <w:tr w:rsidR="00106287" w:rsidRPr="00A44C51" w:rsidTr="00EB711A">
        <w:trPr>
          <w:trHeight w:val="1028"/>
        </w:trPr>
        <w:tc>
          <w:tcPr>
            <w:tcW w:w="3339" w:type="pct"/>
            <w:vAlign w:val="center"/>
          </w:tcPr>
          <w:p w:rsidR="00106287" w:rsidRPr="00B87961" w:rsidRDefault="00106287" w:rsidP="0035227E">
            <w:pPr>
              <w:jc w:val="both"/>
              <w:rPr>
                <w:szCs w:val="24"/>
              </w:rPr>
            </w:pPr>
            <w:r w:rsidRPr="00B87961">
              <w:rPr>
                <w:szCs w:val="24"/>
              </w:rPr>
              <w:lastRenderedPageBreak/>
              <w:t xml:space="preserve">Organizowanie </w:t>
            </w:r>
            <w:r w:rsidRPr="00B87961">
              <w:rPr>
                <w:b/>
                <w:szCs w:val="24"/>
              </w:rPr>
              <w:t>spotkań indywidualnych</w:t>
            </w:r>
            <w:r w:rsidRPr="00B87961">
              <w:rPr>
                <w:szCs w:val="24"/>
              </w:rPr>
              <w:t xml:space="preserve"> z zespołami badawczymi i firmami w celu zainteresowania ich ofertą usług badawczych i/lub wynikami badań prowadzonych przez naukowców pod kątem ich dalszego rozwoju i wdrożenia. Na spotkania będą zapraszane firmy zidentyfikowane przez brokerów innowacji </w:t>
            </w:r>
            <w:r>
              <w:rPr>
                <w:szCs w:val="24"/>
              </w:rPr>
              <w:t xml:space="preserve">CTT CITTRU i </w:t>
            </w:r>
            <w:r w:rsidRPr="00B87961">
              <w:rPr>
                <w:szCs w:val="24"/>
              </w:rPr>
              <w:t xml:space="preserve">UEK jako posiadające potencjał do rozwoju wspólnego projektu badawczo-wdrożeniowego lub potencjalni nabywcy </w:t>
            </w:r>
            <w:r>
              <w:rPr>
                <w:szCs w:val="24"/>
              </w:rPr>
              <w:t xml:space="preserve">technologii i </w:t>
            </w:r>
            <w:r w:rsidRPr="00B87961">
              <w:rPr>
                <w:szCs w:val="24"/>
              </w:rPr>
              <w:t xml:space="preserve">usług badawczych. Tego typu spotkania będą również organizowane z firmami, które same zgłoszą się do konsorcjantów i będą poszukiwały zespołu badawczego do współpracy. Wówczas rolą brokerów innowacji będzie weryfikacja zapotrzebowania ze strony firmy oraz identyfikacja właściwych badaczy wśród pracowników naukowych </w:t>
            </w:r>
            <w:r>
              <w:rPr>
                <w:szCs w:val="24"/>
              </w:rPr>
              <w:t xml:space="preserve">UJ i/lub </w:t>
            </w:r>
            <w:r w:rsidRPr="00B87961">
              <w:rPr>
                <w:szCs w:val="24"/>
              </w:rPr>
              <w:t xml:space="preserve">UEK. </w:t>
            </w:r>
          </w:p>
          <w:p w:rsidR="00106287" w:rsidRPr="00B87961" w:rsidRDefault="00106287" w:rsidP="0035227E">
            <w:pPr>
              <w:jc w:val="both"/>
              <w:rPr>
                <w:szCs w:val="24"/>
              </w:rPr>
            </w:pPr>
            <w:r w:rsidRPr="00B87961">
              <w:rPr>
                <w:szCs w:val="24"/>
              </w:rPr>
              <w:t xml:space="preserve">W przypadku nawiązania współpracy z partnerami biznesowymi brokerzy innowacji będą koordynować realizację przez zespoły naukowe konsorcjantów usług badawczych na rzecz podmiotów </w:t>
            </w:r>
            <w:r w:rsidRPr="00B87961">
              <w:rPr>
                <w:szCs w:val="24"/>
              </w:rPr>
              <w:lastRenderedPageBreak/>
              <w:t xml:space="preserve">zewnętrznych, w tym w szczególności mogących stać się podstawą do nowych, podejmowanych wspólnie z firmą projektów badawczo-wdrożeniowych. Rolą </w:t>
            </w:r>
            <w:r>
              <w:rPr>
                <w:szCs w:val="24"/>
              </w:rPr>
              <w:t xml:space="preserve">UJ i </w:t>
            </w:r>
            <w:r w:rsidRPr="00B87961">
              <w:rPr>
                <w:szCs w:val="24"/>
              </w:rPr>
              <w:t>UEK będzie m.in. wspieranie zespołów naukowych w opracowan</w:t>
            </w:r>
            <w:r>
              <w:rPr>
                <w:szCs w:val="24"/>
              </w:rPr>
              <w:t>iu warunków składanej oferty, w</w:t>
            </w:r>
            <w:r w:rsidRPr="00B87961">
              <w:rPr>
                <w:szCs w:val="24"/>
              </w:rPr>
              <w:t xml:space="preserve"> negocjowaniu i zawieraniu umowy, formalizowaniu niezbędnych zmian w trakcie obowiązywania umowy oraz rozliczenia wykonanych usług. Brokerzy obu uczelni będą zwracać szczególną</w:t>
            </w:r>
            <w:r>
              <w:rPr>
                <w:szCs w:val="24"/>
              </w:rPr>
              <w:t xml:space="preserve"> uwagę</w:t>
            </w:r>
            <w:r w:rsidRPr="00B87961">
              <w:rPr>
                <w:szCs w:val="24"/>
              </w:rPr>
              <w:t xml:space="preserve"> na tworzenie ofert synergicznych. Jest to kolejne zadanie, w którym współpraca obu uczelni jest czynnikiem wzmacniającym ofertę i dającym wartość dodaną dla partnerów biznesowych.</w:t>
            </w:r>
          </w:p>
          <w:p w:rsidR="00106287" w:rsidRPr="00B87961" w:rsidRDefault="00106287" w:rsidP="000A2E54">
            <w:pPr>
              <w:jc w:val="both"/>
              <w:rPr>
                <w:szCs w:val="24"/>
              </w:rPr>
            </w:pPr>
            <w:r w:rsidRPr="00B87961">
              <w:rPr>
                <w:szCs w:val="24"/>
              </w:rPr>
              <w:t xml:space="preserve">W ramach działania przewiduje się udział w przynajmniej </w:t>
            </w:r>
            <w:r>
              <w:rPr>
                <w:szCs w:val="24"/>
              </w:rPr>
              <w:t>200</w:t>
            </w:r>
            <w:r w:rsidRPr="00B87961">
              <w:rPr>
                <w:szCs w:val="24"/>
              </w:rPr>
              <w:t xml:space="preserve"> spotkaniach indywidualnych.</w:t>
            </w:r>
          </w:p>
        </w:tc>
        <w:tc>
          <w:tcPr>
            <w:tcW w:w="1661" w:type="pct"/>
          </w:tcPr>
          <w:p w:rsidR="00106287" w:rsidRPr="00A44C51" w:rsidRDefault="00106287" w:rsidP="0035227E">
            <w:pPr>
              <w:spacing w:before="60"/>
              <w:jc w:val="center"/>
              <w:rPr>
                <w:szCs w:val="24"/>
                <w:lang w:eastAsia="pl-PL"/>
              </w:rPr>
            </w:pPr>
            <w:r>
              <w:rPr>
                <w:szCs w:val="24"/>
                <w:lang w:eastAsia="pl-PL"/>
              </w:rPr>
              <w:lastRenderedPageBreak/>
              <w:t>Cały okres realizacji projektu</w:t>
            </w:r>
          </w:p>
        </w:tc>
      </w:tr>
      <w:tr w:rsidR="00106287" w:rsidRPr="00A44C51" w:rsidTr="00EB711A">
        <w:trPr>
          <w:trHeight w:val="557"/>
        </w:trPr>
        <w:tc>
          <w:tcPr>
            <w:tcW w:w="3339" w:type="pct"/>
            <w:vAlign w:val="center"/>
          </w:tcPr>
          <w:p w:rsidR="00106287" w:rsidRDefault="00106287" w:rsidP="0035227E">
            <w:pPr>
              <w:jc w:val="both"/>
              <w:rPr>
                <w:szCs w:val="24"/>
              </w:rPr>
            </w:pPr>
            <w:r w:rsidRPr="00B87961">
              <w:rPr>
                <w:szCs w:val="24"/>
              </w:rPr>
              <w:lastRenderedPageBreak/>
              <w:t xml:space="preserve">Organizowanie </w:t>
            </w:r>
            <w:r w:rsidRPr="00B87961">
              <w:rPr>
                <w:b/>
                <w:szCs w:val="24"/>
              </w:rPr>
              <w:t>spotkań branżowych</w:t>
            </w:r>
            <w:r w:rsidRPr="00B87961">
              <w:rPr>
                <w:szCs w:val="24"/>
              </w:rPr>
              <w:t xml:space="preserve"> </w:t>
            </w:r>
            <w:r>
              <w:rPr>
                <w:szCs w:val="24"/>
              </w:rPr>
              <w:t>z udziałem</w:t>
            </w:r>
            <w:r w:rsidRPr="00B87961">
              <w:rPr>
                <w:szCs w:val="24"/>
              </w:rPr>
              <w:t xml:space="preserve"> zespołów badawczych </w:t>
            </w:r>
            <w:r>
              <w:rPr>
                <w:szCs w:val="24"/>
              </w:rPr>
              <w:t xml:space="preserve">UJ i/lub </w:t>
            </w:r>
            <w:r w:rsidRPr="00B87961">
              <w:rPr>
                <w:szCs w:val="24"/>
              </w:rPr>
              <w:t xml:space="preserve">UEK, zajmujących się uzupełniającą się tematyką badawczą z </w:t>
            </w:r>
            <w:r>
              <w:rPr>
                <w:szCs w:val="24"/>
              </w:rPr>
              <w:t>zaproszonymi</w:t>
            </w:r>
            <w:r w:rsidRPr="00B87961">
              <w:rPr>
                <w:szCs w:val="24"/>
              </w:rPr>
              <w:t xml:space="preserve"> firmami i instytutami badawczymi, które są potencjalnie zainteresowane wynikami podejmowanych na </w:t>
            </w:r>
            <w:r>
              <w:rPr>
                <w:szCs w:val="24"/>
              </w:rPr>
              <w:t xml:space="preserve">UJ i/lub </w:t>
            </w:r>
            <w:r w:rsidRPr="00B87961">
              <w:rPr>
                <w:szCs w:val="24"/>
              </w:rPr>
              <w:t>UEK badań. Będą miały one charakter seminariów</w:t>
            </w:r>
            <w:r>
              <w:rPr>
                <w:szCs w:val="24"/>
              </w:rPr>
              <w:t xml:space="preserve"> i/lub paneli dyskusyjnych</w:t>
            </w:r>
            <w:r w:rsidRPr="00B87961">
              <w:rPr>
                <w:szCs w:val="24"/>
              </w:rPr>
              <w:t>, podczas których zarówno zespoły badawcze, jak i przedstawiciele firm/instytutów będą prezentować zakres własnej działalności oraz swoje osiągnięcia. Celem każdego spotkania będzie omówienie potencjału i potrzeb każdej ze stron oraz określenie scenariuszy dalszej współpracy. Ostatecznym efektem tych spotkań mają być, zarówno wspólne projekty B+R, badania zlecone, jak i umowy komercjalizacyjne.</w:t>
            </w:r>
          </w:p>
          <w:p w:rsidR="00106287" w:rsidRDefault="00106287" w:rsidP="0035227E">
            <w:pPr>
              <w:jc w:val="both"/>
              <w:rPr>
                <w:szCs w:val="24"/>
              </w:rPr>
            </w:pPr>
            <w:r>
              <w:rPr>
                <w:szCs w:val="24"/>
              </w:rPr>
              <w:t xml:space="preserve">W ramach prac przygotowawczych przeprowadzono wstępne rozpoznanie potrzeb w zakresie organizacji spotkań branżowych. W jego ramach zidentyfikowano wstępnie 3 obszary, w których zostaną zorganizowane spotkania. Są nimi: </w:t>
            </w:r>
          </w:p>
          <w:p w:rsidR="00106287" w:rsidRDefault="00106287" w:rsidP="0054273F">
            <w:pPr>
              <w:numPr>
                <w:ilvl w:val="0"/>
                <w:numId w:val="38"/>
              </w:numPr>
              <w:jc w:val="both"/>
              <w:rPr>
                <w:szCs w:val="24"/>
              </w:rPr>
            </w:pPr>
            <w:r>
              <w:rPr>
                <w:szCs w:val="24"/>
              </w:rPr>
              <w:t xml:space="preserve">obszar rozwoju projektów lekowych pod kątem zwiększenia ich atrakcyjności dla firm farmaceutycznych; </w:t>
            </w:r>
          </w:p>
          <w:p w:rsidR="00106287" w:rsidRDefault="00106287" w:rsidP="0054273F">
            <w:pPr>
              <w:numPr>
                <w:ilvl w:val="0"/>
                <w:numId w:val="38"/>
              </w:numPr>
              <w:jc w:val="both"/>
              <w:rPr>
                <w:szCs w:val="24"/>
              </w:rPr>
            </w:pPr>
            <w:r>
              <w:rPr>
                <w:szCs w:val="24"/>
              </w:rPr>
              <w:t>branża rozwoju technologii katalitycznych (w tym katalizatorów środowiskowych);</w:t>
            </w:r>
          </w:p>
          <w:p w:rsidR="00106287" w:rsidRPr="00B87961" w:rsidRDefault="00106287" w:rsidP="0054273F">
            <w:pPr>
              <w:numPr>
                <w:ilvl w:val="0"/>
                <w:numId w:val="38"/>
              </w:numPr>
              <w:jc w:val="both"/>
              <w:rPr>
                <w:szCs w:val="24"/>
              </w:rPr>
            </w:pPr>
            <w:r>
              <w:rPr>
                <w:szCs w:val="24"/>
              </w:rPr>
              <w:t xml:space="preserve">obszar związany z wykorzystaniem wynalazków z dziedziny Fizyki (roboczy tytuł spotkania </w:t>
            </w:r>
            <w:r w:rsidRPr="0054273F">
              <w:rPr>
                <w:i/>
                <w:szCs w:val="24"/>
              </w:rPr>
              <w:t>„Fizyka – Innowacje – Przemysł”</w:t>
            </w:r>
            <w:r>
              <w:rPr>
                <w:szCs w:val="24"/>
              </w:rPr>
              <w:t>)</w:t>
            </w:r>
          </w:p>
          <w:p w:rsidR="00106287" w:rsidRDefault="00106287" w:rsidP="0035227E">
            <w:pPr>
              <w:jc w:val="both"/>
              <w:rPr>
                <w:szCs w:val="24"/>
              </w:rPr>
            </w:pPr>
            <w:r w:rsidRPr="00B87961">
              <w:rPr>
                <w:szCs w:val="24"/>
              </w:rPr>
              <w:t xml:space="preserve">Dotychczasowe doświadczenia konsorcjantów pokazują, że spotkania branżowe są skuteczną platformą inicjowania </w:t>
            </w:r>
            <w:r>
              <w:rPr>
                <w:szCs w:val="24"/>
              </w:rPr>
              <w:t xml:space="preserve">                    </w:t>
            </w:r>
            <w:r w:rsidRPr="00B87961">
              <w:rPr>
                <w:szCs w:val="24"/>
              </w:rPr>
              <w:t xml:space="preserve">i wzmacniania współpracy między środowiskiem naukowym </w:t>
            </w:r>
            <w:r>
              <w:rPr>
                <w:szCs w:val="24"/>
              </w:rPr>
              <w:t xml:space="preserve">          </w:t>
            </w:r>
            <w:r w:rsidRPr="00B87961">
              <w:rPr>
                <w:szCs w:val="24"/>
              </w:rPr>
              <w:t>a otoczeniem gospodarczym.</w:t>
            </w:r>
          </w:p>
          <w:p w:rsidR="00106287" w:rsidRPr="00B87961" w:rsidRDefault="00106287" w:rsidP="0035227E">
            <w:pPr>
              <w:jc w:val="both"/>
              <w:rPr>
                <w:szCs w:val="24"/>
              </w:rPr>
            </w:pPr>
            <w:r>
              <w:rPr>
                <w:szCs w:val="24"/>
              </w:rPr>
              <w:t>W ramach zadania planuje się również organizację wizyt studyjnych u przedsiębiorców z udziałem pracowników naukowych                     i studentów.</w:t>
            </w:r>
          </w:p>
          <w:p w:rsidR="00106287" w:rsidRPr="00B87961" w:rsidRDefault="00106287" w:rsidP="0035227E">
            <w:pPr>
              <w:jc w:val="both"/>
              <w:rPr>
                <w:szCs w:val="24"/>
              </w:rPr>
            </w:pPr>
            <w:r w:rsidRPr="00B87961">
              <w:rPr>
                <w:szCs w:val="24"/>
              </w:rPr>
              <w:t xml:space="preserve">W ramach działania przewiduje się organizację przynajmniej </w:t>
            </w:r>
            <w:r>
              <w:rPr>
                <w:szCs w:val="24"/>
              </w:rPr>
              <w:t>5</w:t>
            </w:r>
            <w:r w:rsidRPr="00B87961">
              <w:rPr>
                <w:szCs w:val="24"/>
              </w:rPr>
              <w:t xml:space="preserve"> spotkań branżowych</w:t>
            </w:r>
            <w:r>
              <w:rPr>
                <w:szCs w:val="24"/>
              </w:rPr>
              <w:t xml:space="preserve"> i 2 wizyt studyjnych</w:t>
            </w:r>
            <w:r w:rsidRPr="00B87961">
              <w:rPr>
                <w:szCs w:val="24"/>
              </w:rPr>
              <w:t>.</w:t>
            </w:r>
          </w:p>
        </w:tc>
        <w:tc>
          <w:tcPr>
            <w:tcW w:w="1661" w:type="pct"/>
          </w:tcPr>
          <w:p w:rsidR="00106287" w:rsidRPr="00A44C51" w:rsidRDefault="00106287" w:rsidP="0035227E">
            <w:pPr>
              <w:spacing w:before="60"/>
              <w:jc w:val="center"/>
              <w:rPr>
                <w:szCs w:val="24"/>
                <w:lang w:eastAsia="pl-PL"/>
              </w:rPr>
            </w:pPr>
            <w:r>
              <w:rPr>
                <w:szCs w:val="24"/>
                <w:lang w:eastAsia="pl-PL"/>
              </w:rPr>
              <w:t>Cały okres realizacji projektu</w:t>
            </w:r>
          </w:p>
        </w:tc>
      </w:tr>
      <w:tr w:rsidR="00106287" w:rsidRPr="00A44C51" w:rsidTr="00EB711A">
        <w:trPr>
          <w:trHeight w:val="1028"/>
        </w:trPr>
        <w:tc>
          <w:tcPr>
            <w:tcW w:w="3339" w:type="pct"/>
            <w:vAlign w:val="center"/>
          </w:tcPr>
          <w:p w:rsidR="00106287" w:rsidRPr="00B87961" w:rsidRDefault="00106287" w:rsidP="0035227E">
            <w:pPr>
              <w:jc w:val="both"/>
              <w:rPr>
                <w:szCs w:val="24"/>
              </w:rPr>
            </w:pPr>
            <w:r w:rsidRPr="00B87961">
              <w:rPr>
                <w:szCs w:val="24"/>
              </w:rPr>
              <w:t xml:space="preserve">Udział w krajowych i zagranicznych </w:t>
            </w:r>
            <w:r w:rsidRPr="00B87961">
              <w:rPr>
                <w:b/>
                <w:szCs w:val="24"/>
              </w:rPr>
              <w:t xml:space="preserve">targach, konferencjach </w:t>
            </w:r>
            <w:r>
              <w:rPr>
                <w:b/>
                <w:szCs w:val="24"/>
              </w:rPr>
              <w:t xml:space="preserve">                  </w:t>
            </w:r>
            <w:r w:rsidRPr="00B87961">
              <w:rPr>
                <w:b/>
                <w:szCs w:val="24"/>
              </w:rPr>
              <w:t>i wystawach</w:t>
            </w:r>
            <w:r w:rsidRPr="00B87961">
              <w:rPr>
                <w:szCs w:val="24"/>
              </w:rPr>
              <w:t xml:space="preserve"> mających na celu promocję portfolio konsorcjantów, zarówno w zakresie ofert technologicznych, jak i badań zleconych, a także identyfikację potencjalnych nabywców technologii i usług, nawiązanie kontaktów biznesowych, weryfikację wartości rynkowej i gotowości do wdrożenia technologii uniwersyteckich oraz poznanie zapotrzebowania przedsiębiorców na określone usługi badawcze i rozwiązania technologiczne.</w:t>
            </w:r>
          </w:p>
          <w:p w:rsidR="00106287" w:rsidRPr="00263A9E" w:rsidRDefault="00106287" w:rsidP="0035227E">
            <w:pPr>
              <w:jc w:val="both"/>
              <w:rPr>
                <w:szCs w:val="24"/>
              </w:rPr>
            </w:pPr>
            <w:r w:rsidRPr="00B87961">
              <w:rPr>
                <w:szCs w:val="24"/>
              </w:rPr>
              <w:t xml:space="preserve">Wybór wydarzeń w jakich wezmą udział konsorcjanci (w tym </w:t>
            </w:r>
            <w:r>
              <w:rPr>
                <w:szCs w:val="24"/>
              </w:rPr>
              <w:t xml:space="preserve">                 </w:t>
            </w:r>
            <w:r w:rsidRPr="00B87961">
              <w:rPr>
                <w:szCs w:val="24"/>
              </w:rPr>
              <w:t>w uzasadnionych przypadkach również naukowcy obu jednostek) będzie uzależniony od branży, której dotyczą promowane wynalazki</w:t>
            </w:r>
            <w:r>
              <w:rPr>
                <w:szCs w:val="24"/>
              </w:rPr>
              <w:t xml:space="preserve"> i oferty usługowe. </w:t>
            </w:r>
            <w:r w:rsidRPr="009A0B6D">
              <w:rPr>
                <w:szCs w:val="24"/>
              </w:rPr>
              <w:t>Ponadto w ramach działania wybrani brokerzy innowacji wezmą udział także w szkoleniach mających na celu zwiększenie ich kompetencji w zakresie szeroko pojętej współpracy z biznesem, np. szkolenia ASTP, TT Progres, itp. czyli szkolenia prowadzone przez międzynarodowych ekspertów w branży transferu technologii.</w:t>
            </w:r>
            <w:r>
              <w:rPr>
                <w:szCs w:val="24"/>
              </w:rPr>
              <w:t xml:space="preserve"> Ważnym elementem procesu podnoszenia kwalifikacji brokerów CTT CITTRU będzie także udział pracowników CTT CITTRU w procesie tzw. </w:t>
            </w:r>
            <w:r>
              <w:rPr>
                <w:i/>
                <w:szCs w:val="24"/>
              </w:rPr>
              <w:t xml:space="preserve">Development Center </w:t>
            </w:r>
            <w:r>
              <w:rPr>
                <w:szCs w:val="24"/>
              </w:rPr>
              <w:t xml:space="preserve">(szczegółowe informacje na temat tego działania zamieszczono w opisie zadania 5) oraz w szkoleniach dostępnych w ramach systemu szkoleń UJ o nazwie </w:t>
            </w:r>
            <w:r w:rsidRPr="00266CE1">
              <w:rPr>
                <w:i/>
                <w:szCs w:val="24"/>
              </w:rPr>
              <w:t>„</w:t>
            </w:r>
            <w:proofErr w:type="spellStart"/>
            <w:r w:rsidRPr="00266CE1">
              <w:rPr>
                <w:i/>
                <w:szCs w:val="24"/>
              </w:rPr>
              <w:t>ZintegrUJ</w:t>
            </w:r>
            <w:proofErr w:type="spellEnd"/>
            <w:r w:rsidRPr="00266CE1">
              <w:rPr>
                <w:i/>
                <w:szCs w:val="24"/>
              </w:rPr>
              <w:t>”</w:t>
            </w:r>
            <w:r>
              <w:rPr>
                <w:i/>
                <w:szCs w:val="24"/>
              </w:rPr>
              <w:t>.</w:t>
            </w:r>
            <w:r>
              <w:rPr>
                <w:szCs w:val="24"/>
              </w:rPr>
              <w:t xml:space="preserve"> </w:t>
            </w:r>
          </w:p>
          <w:p w:rsidR="00106287" w:rsidRPr="00B87961" w:rsidRDefault="00106287" w:rsidP="00EE5DDB">
            <w:pPr>
              <w:jc w:val="both"/>
              <w:rPr>
                <w:szCs w:val="24"/>
              </w:rPr>
            </w:pPr>
            <w:r w:rsidRPr="00B87961">
              <w:rPr>
                <w:szCs w:val="24"/>
              </w:rPr>
              <w:t xml:space="preserve">W ramach działania przewiduje się udział w przynajmniej </w:t>
            </w:r>
            <w:r>
              <w:rPr>
                <w:szCs w:val="24"/>
              </w:rPr>
              <w:t>6</w:t>
            </w:r>
            <w:r w:rsidRPr="00B87961">
              <w:rPr>
                <w:szCs w:val="24"/>
              </w:rPr>
              <w:t xml:space="preserve"> </w:t>
            </w:r>
            <w:r>
              <w:rPr>
                <w:szCs w:val="24"/>
              </w:rPr>
              <w:t>wydarzeniach</w:t>
            </w:r>
            <w:r w:rsidRPr="00B87961">
              <w:rPr>
                <w:szCs w:val="24"/>
              </w:rPr>
              <w:t>.</w:t>
            </w:r>
          </w:p>
        </w:tc>
        <w:tc>
          <w:tcPr>
            <w:tcW w:w="1661" w:type="pct"/>
          </w:tcPr>
          <w:p w:rsidR="00106287" w:rsidRPr="00A44C51" w:rsidRDefault="00106287" w:rsidP="0035227E">
            <w:pPr>
              <w:spacing w:before="60"/>
              <w:jc w:val="center"/>
              <w:rPr>
                <w:szCs w:val="24"/>
                <w:lang w:eastAsia="pl-PL"/>
              </w:rPr>
            </w:pPr>
            <w:r>
              <w:rPr>
                <w:szCs w:val="24"/>
                <w:lang w:eastAsia="pl-PL"/>
              </w:rPr>
              <w:t>Cały okres realizacji projektu</w:t>
            </w:r>
          </w:p>
        </w:tc>
      </w:tr>
      <w:tr w:rsidR="00106287" w:rsidRPr="00A44C51" w:rsidTr="00EB711A">
        <w:trPr>
          <w:trHeight w:val="1028"/>
        </w:trPr>
        <w:tc>
          <w:tcPr>
            <w:tcW w:w="3339" w:type="pct"/>
          </w:tcPr>
          <w:p w:rsidR="00106287" w:rsidRPr="00B87961" w:rsidRDefault="00106287" w:rsidP="0035227E">
            <w:pPr>
              <w:jc w:val="both"/>
              <w:rPr>
                <w:szCs w:val="24"/>
              </w:rPr>
            </w:pPr>
            <w:r w:rsidRPr="00B87961">
              <w:rPr>
                <w:szCs w:val="24"/>
              </w:rPr>
              <w:t xml:space="preserve">Prowadzenie procesu </w:t>
            </w:r>
            <w:r w:rsidRPr="00B87961">
              <w:rPr>
                <w:b/>
                <w:szCs w:val="24"/>
              </w:rPr>
              <w:t>negocjacji i podpisywania nowych umów</w:t>
            </w:r>
            <w:r>
              <w:rPr>
                <w:b/>
                <w:szCs w:val="24"/>
              </w:rPr>
              <w:t xml:space="preserve">            </w:t>
            </w:r>
            <w:r w:rsidRPr="00B87961">
              <w:rPr>
                <w:szCs w:val="24"/>
              </w:rPr>
              <w:t xml:space="preserve"> o współpracy pomiędzy </w:t>
            </w:r>
            <w:r>
              <w:rPr>
                <w:szCs w:val="24"/>
              </w:rPr>
              <w:t xml:space="preserve">UJ i/lub </w:t>
            </w:r>
            <w:r w:rsidRPr="00B87961">
              <w:rPr>
                <w:szCs w:val="24"/>
              </w:rPr>
              <w:t xml:space="preserve">UEK a podmiotami zewnętrznymi, w szczególności </w:t>
            </w:r>
            <w:r>
              <w:rPr>
                <w:szCs w:val="24"/>
              </w:rPr>
              <w:t>umów komercjalizacji wynalazków, umów dotyczących</w:t>
            </w:r>
            <w:r w:rsidRPr="00B87961">
              <w:rPr>
                <w:szCs w:val="24"/>
              </w:rPr>
              <w:t xml:space="preserve"> realizacji wspólnych projektów badawczo-wdrożeniowych, przekazania materiałów/prototypów do testów lub wdrożenia </w:t>
            </w:r>
            <w:r>
              <w:rPr>
                <w:szCs w:val="24"/>
              </w:rPr>
              <w:t>innowacyjnego rozwiązania</w:t>
            </w:r>
            <w:r w:rsidRPr="00B87961">
              <w:rPr>
                <w:szCs w:val="24"/>
              </w:rPr>
              <w:t>, umów pra</w:t>
            </w:r>
            <w:r>
              <w:rPr>
                <w:szCs w:val="24"/>
              </w:rPr>
              <w:t>c dotyczących badań zleconych.</w:t>
            </w:r>
          </w:p>
          <w:p w:rsidR="00106287" w:rsidRPr="00B87961" w:rsidRDefault="00106287" w:rsidP="00ED6C6A">
            <w:pPr>
              <w:jc w:val="both"/>
              <w:rPr>
                <w:szCs w:val="24"/>
              </w:rPr>
            </w:pPr>
            <w:r w:rsidRPr="00B87961">
              <w:rPr>
                <w:szCs w:val="24"/>
              </w:rPr>
              <w:t xml:space="preserve">W ramach projektu przewiduje się nawiązanie współpracy pomiędzy środowiskiem naukowym i otoczeniem gospodarczym w postaci przynajmniej </w:t>
            </w:r>
            <w:r>
              <w:rPr>
                <w:szCs w:val="24"/>
              </w:rPr>
              <w:t>80</w:t>
            </w:r>
            <w:r w:rsidRPr="00B87961">
              <w:rPr>
                <w:szCs w:val="24"/>
              </w:rPr>
              <w:t xml:space="preserve"> umów różnego typu. </w:t>
            </w:r>
          </w:p>
        </w:tc>
        <w:tc>
          <w:tcPr>
            <w:tcW w:w="1661" w:type="pct"/>
          </w:tcPr>
          <w:p w:rsidR="00106287" w:rsidRPr="00A44C51" w:rsidRDefault="00106287" w:rsidP="0035227E">
            <w:pPr>
              <w:spacing w:before="60"/>
              <w:jc w:val="center"/>
              <w:rPr>
                <w:szCs w:val="24"/>
                <w:lang w:eastAsia="pl-PL"/>
              </w:rPr>
            </w:pPr>
            <w:r>
              <w:rPr>
                <w:szCs w:val="24"/>
                <w:lang w:eastAsia="pl-PL"/>
              </w:rPr>
              <w:t>Cały okres realizacji projektu</w:t>
            </w:r>
          </w:p>
        </w:tc>
      </w:tr>
      <w:tr w:rsidR="00106287" w:rsidRPr="00A44C51" w:rsidTr="00EB711A">
        <w:trPr>
          <w:trHeight w:val="1028"/>
        </w:trPr>
        <w:tc>
          <w:tcPr>
            <w:tcW w:w="3339" w:type="pct"/>
          </w:tcPr>
          <w:p w:rsidR="00106287" w:rsidRPr="00557D3A" w:rsidRDefault="00106287" w:rsidP="00557D3A">
            <w:pPr>
              <w:jc w:val="both"/>
              <w:rPr>
                <w:szCs w:val="24"/>
              </w:rPr>
            </w:pPr>
            <w:r w:rsidRPr="0064142A">
              <w:rPr>
                <w:b/>
                <w:szCs w:val="24"/>
              </w:rPr>
              <w:t>Szkolenia wspierające przedsiębiorczość akademicką</w:t>
            </w:r>
            <w:r>
              <w:rPr>
                <w:szCs w:val="24"/>
              </w:rPr>
              <w:t xml:space="preserve"> ukierunkowane na podniesienie kompetencji pracowników, doktorantów i studentów UJ i UEK. </w:t>
            </w:r>
            <w:r w:rsidRPr="00B87961">
              <w:rPr>
                <w:szCs w:val="24"/>
              </w:rPr>
              <w:t xml:space="preserve">Działanie obejmie m.in. </w:t>
            </w:r>
            <w:r>
              <w:rPr>
                <w:szCs w:val="24"/>
              </w:rPr>
              <w:t xml:space="preserve">szkolenia z zakresu przedsiębiorczości, </w:t>
            </w:r>
            <w:r w:rsidRPr="00B87961">
              <w:rPr>
                <w:szCs w:val="24"/>
              </w:rPr>
              <w:t xml:space="preserve">indywidualne doradztwo, </w:t>
            </w:r>
            <w:r>
              <w:rPr>
                <w:szCs w:val="24"/>
              </w:rPr>
              <w:t xml:space="preserve">rozwój umiejętności prowadzenia biznesu. Przykładowym wydarzeniem planowanym w ramach tego działania są pilotażowe warsztaty opracowane przez pracowników UJ. Obejmują one </w:t>
            </w:r>
            <w:r w:rsidRPr="00557D3A">
              <w:rPr>
                <w:szCs w:val="24"/>
              </w:rPr>
              <w:t xml:space="preserve">trzy typy warsztatów, które mogą być realizowane sekwencyjnie lub w skomponowanych przez uczestników cyklach szkoleniowych: </w:t>
            </w:r>
          </w:p>
          <w:p w:rsidR="00106287" w:rsidRPr="00557D3A" w:rsidRDefault="00106287" w:rsidP="00557D3A">
            <w:pPr>
              <w:numPr>
                <w:ilvl w:val="0"/>
                <w:numId w:val="39"/>
              </w:numPr>
              <w:jc w:val="both"/>
              <w:rPr>
                <w:szCs w:val="24"/>
              </w:rPr>
            </w:pPr>
            <w:r w:rsidRPr="00557D3A">
              <w:rPr>
                <w:szCs w:val="24"/>
              </w:rPr>
              <w:t xml:space="preserve">DEMO, których założeniem jest zanurzenie uczestników w konkretnej technice lub metodzie rozwiązywania problemów (m. in. Lean </w:t>
            </w:r>
            <w:proofErr w:type="spellStart"/>
            <w:r w:rsidRPr="00557D3A">
              <w:rPr>
                <w:szCs w:val="24"/>
              </w:rPr>
              <w:t>Canvas</w:t>
            </w:r>
            <w:proofErr w:type="spellEnd"/>
            <w:r w:rsidRPr="00557D3A">
              <w:rPr>
                <w:szCs w:val="24"/>
              </w:rPr>
              <w:t xml:space="preserve"> Model i Design </w:t>
            </w:r>
            <w:proofErr w:type="spellStart"/>
            <w:r w:rsidRPr="00557D3A">
              <w:rPr>
                <w:szCs w:val="24"/>
              </w:rPr>
              <w:t>Thinking</w:t>
            </w:r>
            <w:proofErr w:type="spellEnd"/>
            <w:r w:rsidRPr="00557D3A">
              <w:rPr>
                <w:szCs w:val="24"/>
              </w:rPr>
              <w:t>)</w:t>
            </w:r>
            <w:r>
              <w:rPr>
                <w:szCs w:val="24"/>
              </w:rPr>
              <w:t>;</w:t>
            </w:r>
          </w:p>
          <w:p w:rsidR="00106287" w:rsidRPr="00557D3A" w:rsidRDefault="00106287" w:rsidP="00557D3A">
            <w:pPr>
              <w:numPr>
                <w:ilvl w:val="0"/>
                <w:numId w:val="39"/>
              </w:numPr>
              <w:jc w:val="both"/>
              <w:rPr>
                <w:szCs w:val="24"/>
              </w:rPr>
            </w:pPr>
            <w:r w:rsidRPr="00557D3A">
              <w:rPr>
                <w:szCs w:val="24"/>
              </w:rPr>
              <w:t>INTRO, które sięgają głębiej w tematykę, prezentując jej esencję, korzyści płynące z jej wykorzys</w:t>
            </w:r>
            <w:r>
              <w:rPr>
                <w:szCs w:val="24"/>
              </w:rPr>
              <w:t>tania i elastycznego rozwijania;</w:t>
            </w:r>
          </w:p>
          <w:p w:rsidR="00106287" w:rsidRPr="00557D3A" w:rsidRDefault="00106287" w:rsidP="00557D3A">
            <w:pPr>
              <w:numPr>
                <w:ilvl w:val="0"/>
                <w:numId w:val="39"/>
              </w:numPr>
              <w:jc w:val="both"/>
              <w:rPr>
                <w:szCs w:val="24"/>
              </w:rPr>
            </w:pPr>
            <w:proofErr w:type="spellStart"/>
            <w:r>
              <w:rPr>
                <w:szCs w:val="24"/>
              </w:rPr>
              <w:t>CoP</w:t>
            </w:r>
            <w:proofErr w:type="spellEnd"/>
            <w:r>
              <w:rPr>
                <w:szCs w:val="24"/>
              </w:rPr>
              <w:t xml:space="preserve"> (</w:t>
            </w:r>
            <w:proofErr w:type="spellStart"/>
            <w:r>
              <w:rPr>
                <w:szCs w:val="24"/>
              </w:rPr>
              <w:t>Community</w:t>
            </w:r>
            <w:proofErr w:type="spellEnd"/>
            <w:r>
              <w:rPr>
                <w:szCs w:val="24"/>
              </w:rPr>
              <w:t xml:space="preserve"> of </w:t>
            </w:r>
            <w:proofErr w:type="spellStart"/>
            <w:r>
              <w:rPr>
                <w:szCs w:val="24"/>
              </w:rPr>
              <w:t>P</w:t>
            </w:r>
            <w:r w:rsidRPr="00557D3A">
              <w:rPr>
                <w:szCs w:val="24"/>
              </w:rPr>
              <w:t>ractice</w:t>
            </w:r>
            <w:proofErr w:type="spellEnd"/>
            <w:r w:rsidRPr="00557D3A">
              <w:rPr>
                <w:szCs w:val="24"/>
              </w:rPr>
              <w:t>) - Społeczność i forum spotkań, które polegają na zderzaniu pomysłów, metod i narzędzi dla wypracowania optymalnych rozwiązań dla wniesionych na forum problemów i wyzwań stojących przed praktykami biznesu.</w:t>
            </w:r>
          </w:p>
          <w:p w:rsidR="00106287" w:rsidRPr="00557D3A" w:rsidRDefault="00106287" w:rsidP="00557D3A">
            <w:pPr>
              <w:jc w:val="both"/>
              <w:rPr>
                <w:szCs w:val="24"/>
              </w:rPr>
            </w:pPr>
          </w:p>
          <w:p w:rsidR="00106287" w:rsidRDefault="00106287" w:rsidP="00557D3A">
            <w:pPr>
              <w:jc w:val="both"/>
              <w:rPr>
                <w:szCs w:val="24"/>
              </w:rPr>
            </w:pPr>
            <w:r>
              <w:rPr>
                <w:szCs w:val="24"/>
              </w:rPr>
              <w:t xml:space="preserve">Opcjonalnie, w przypadku zaistnienia takiej potrzeby, zostanie  uruchomiony tzw. </w:t>
            </w:r>
            <w:r w:rsidRPr="00557D3A">
              <w:rPr>
                <w:szCs w:val="24"/>
              </w:rPr>
              <w:t xml:space="preserve">open lab </w:t>
            </w:r>
            <w:r>
              <w:rPr>
                <w:i/>
                <w:szCs w:val="24"/>
              </w:rPr>
              <w:t>„Prototypownia”</w:t>
            </w:r>
            <w:r w:rsidRPr="00557D3A">
              <w:rPr>
                <w:szCs w:val="24"/>
              </w:rPr>
              <w:t xml:space="preserve">, </w:t>
            </w:r>
            <w:r>
              <w:rPr>
                <w:szCs w:val="24"/>
              </w:rPr>
              <w:t>tj. przestrzeń</w:t>
            </w:r>
            <w:r w:rsidRPr="00557D3A">
              <w:rPr>
                <w:szCs w:val="24"/>
              </w:rPr>
              <w:t xml:space="preserve"> </w:t>
            </w:r>
            <w:r>
              <w:rPr>
                <w:szCs w:val="24"/>
              </w:rPr>
              <w:t>do realizacji</w:t>
            </w:r>
            <w:r w:rsidRPr="00557D3A">
              <w:rPr>
                <w:szCs w:val="24"/>
              </w:rPr>
              <w:t xml:space="preserve"> pełnego procesu projektowania nowych rozwiązań w zespołach złożonych z trenerów i uczestników </w:t>
            </w:r>
            <w:r>
              <w:rPr>
                <w:szCs w:val="24"/>
              </w:rPr>
              <w:t>wcześniejszych</w:t>
            </w:r>
            <w:r w:rsidRPr="00557D3A">
              <w:rPr>
                <w:szCs w:val="24"/>
              </w:rPr>
              <w:t xml:space="preserve"> warsztatów oraz wszystkich zainteresowanych praktycznym wykorzystaniem metod i narzędzi.</w:t>
            </w:r>
            <w:r w:rsidRPr="00B87961">
              <w:rPr>
                <w:szCs w:val="24"/>
              </w:rPr>
              <w:t xml:space="preserve"> </w:t>
            </w:r>
          </w:p>
          <w:p w:rsidR="00106287" w:rsidRDefault="00106287" w:rsidP="00557D3A">
            <w:pPr>
              <w:jc w:val="both"/>
              <w:rPr>
                <w:szCs w:val="24"/>
              </w:rPr>
            </w:pPr>
          </w:p>
          <w:p w:rsidR="00106287" w:rsidRDefault="00106287" w:rsidP="00557D3A">
            <w:pPr>
              <w:jc w:val="both"/>
              <w:rPr>
                <w:szCs w:val="24"/>
              </w:rPr>
            </w:pPr>
            <w:r w:rsidRPr="00B87961">
              <w:rPr>
                <w:szCs w:val="24"/>
              </w:rPr>
              <w:t xml:space="preserve">W ramach działania przewiduje się organizację przynajmniej </w:t>
            </w:r>
            <w:r>
              <w:rPr>
                <w:szCs w:val="24"/>
              </w:rPr>
              <w:t xml:space="preserve">                   5</w:t>
            </w:r>
            <w:r w:rsidRPr="00B87961">
              <w:rPr>
                <w:szCs w:val="24"/>
              </w:rPr>
              <w:t xml:space="preserve"> wydarzeń.</w:t>
            </w:r>
          </w:p>
          <w:p w:rsidR="00106287" w:rsidRPr="00B87961" w:rsidRDefault="00106287" w:rsidP="00557D3A">
            <w:pPr>
              <w:jc w:val="both"/>
              <w:rPr>
                <w:szCs w:val="24"/>
              </w:rPr>
            </w:pPr>
          </w:p>
        </w:tc>
        <w:tc>
          <w:tcPr>
            <w:tcW w:w="1661" w:type="pct"/>
          </w:tcPr>
          <w:p w:rsidR="00106287" w:rsidRPr="00A44C51" w:rsidRDefault="00106287" w:rsidP="0035227E">
            <w:pPr>
              <w:spacing w:before="60"/>
              <w:jc w:val="center"/>
              <w:rPr>
                <w:szCs w:val="24"/>
                <w:lang w:eastAsia="pl-PL"/>
              </w:rPr>
            </w:pPr>
            <w:r>
              <w:rPr>
                <w:szCs w:val="24"/>
                <w:lang w:eastAsia="pl-PL"/>
              </w:rPr>
              <w:t>Cały okres realizacji projektu</w:t>
            </w:r>
          </w:p>
        </w:tc>
      </w:tr>
    </w:tbl>
    <w:p w:rsidR="00617176" w:rsidRPr="00DB03FA" w:rsidRDefault="00617176" w:rsidP="00B25E24">
      <w:pPr>
        <w:spacing w:before="60" w:line="276" w:lineRule="auto"/>
        <w:rPr>
          <w:sz w:val="12"/>
          <w:szCs w:val="12"/>
          <w:lang w:eastAsia="pl-PL"/>
        </w:rPr>
      </w:pPr>
    </w:p>
    <w:p w:rsidR="00617176" w:rsidRPr="00DB03FA" w:rsidRDefault="00617176" w:rsidP="00B25E24">
      <w:pPr>
        <w:spacing w:before="60" w:line="276" w:lineRule="auto"/>
        <w:rPr>
          <w:sz w:val="12"/>
          <w:szCs w:val="12"/>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4"/>
        <w:gridCol w:w="4273"/>
      </w:tblGrid>
      <w:tr w:rsidR="00617176" w:rsidRPr="0097346E" w:rsidTr="0035227E">
        <w:tc>
          <w:tcPr>
            <w:tcW w:w="5000" w:type="pct"/>
            <w:gridSpan w:val="2"/>
            <w:shd w:val="clear" w:color="auto" w:fill="B8CCE4"/>
          </w:tcPr>
          <w:p w:rsidR="00617176" w:rsidRPr="0097346E" w:rsidRDefault="00617176" w:rsidP="00812609">
            <w:pPr>
              <w:keepNext/>
              <w:spacing w:before="60" w:line="276" w:lineRule="auto"/>
              <w:ind w:left="426"/>
              <w:jc w:val="both"/>
              <w:rPr>
                <w:szCs w:val="24"/>
                <w:lang w:eastAsia="pl-PL"/>
              </w:rPr>
            </w:pPr>
          </w:p>
          <w:p w:rsidR="00617176" w:rsidRPr="0097346E" w:rsidRDefault="00617176" w:rsidP="00812609">
            <w:pPr>
              <w:keepNext/>
              <w:spacing w:before="60" w:line="276" w:lineRule="auto"/>
              <w:jc w:val="both"/>
              <w:rPr>
                <w:szCs w:val="24"/>
                <w:lang w:eastAsia="pl-PL"/>
              </w:rPr>
            </w:pPr>
            <w:r>
              <w:rPr>
                <w:szCs w:val="24"/>
                <w:lang w:eastAsia="pl-PL"/>
              </w:rPr>
              <w:t xml:space="preserve">Zadanie 2. </w:t>
            </w:r>
            <w:r w:rsidRPr="0097346E">
              <w:rPr>
                <w:szCs w:val="24"/>
                <w:lang w:eastAsia="pl-PL"/>
              </w:rPr>
              <w:t>Przygotowanie projektów komercjalizacji wyników badań naukowych i prac rozwojowych, zawierających w szczególności analizy potencjału rynkowego wynalazków oraz analizy ich gotowości wdrożeniowej, a także wyceny praw własności przemysłowej</w:t>
            </w:r>
          </w:p>
          <w:p w:rsidR="00617176" w:rsidRPr="0097346E" w:rsidRDefault="00617176" w:rsidP="00812609">
            <w:pPr>
              <w:keepNext/>
              <w:spacing w:before="60" w:line="276" w:lineRule="auto"/>
              <w:ind w:left="426"/>
              <w:jc w:val="both"/>
              <w:rPr>
                <w:szCs w:val="24"/>
                <w:lang w:eastAsia="pl-PL"/>
              </w:rPr>
            </w:pPr>
          </w:p>
        </w:tc>
      </w:tr>
      <w:tr w:rsidR="00106287" w:rsidRPr="00A44C51" w:rsidTr="00106287">
        <w:tc>
          <w:tcPr>
            <w:tcW w:w="2863" w:type="pct"/>
            <w:shd w:val="clear" w:color="auto" w:fill="B8CCE4"/>
            <w:vAlign w:val="center"/>
          </w:tcPr>
          <w:p w:rsidR="00106287" w:rsidRPr="00A44C51" w:rsidRDefault="00106287" w:rsidP="00812609">
            <w:pPr>
              <w:keepNext/>
              <w:spacing w:before="60" w:line="276" w:lineRule="auto"/>
              <w:jc w:val="center"/>
              <w:rPr>
                <w:szCs w:val="24"/>
                <w:lang w:eastAsia="pl-PL"/>
              </w:rPr>
            </w:pPr>
            <w:r w:rsidRPr="00A44C51">
              <w:rPr>
                <w:szCs w:val="24"/>
                <w:lang w:eastAsia="pl-PL"/>
              </w:rPr>
              <w:t>Planowane działania służące realizacji tego zadania</w:t>
            </w:r>
          </w:p>
        </w:tc>
        <w:tc>
          <w:tcPr>
            <w:tcW w:w="2137" w:type="pct"/>
            <w:shd w:val="clear" w:color="auto" w:fill="B8CCE4"/>
            <w:vAlign w:val="center"/>
          </w:tcPr>
          <w:p w:rsidR="00106287" w:rsidRPr="00A44C51" w:rsidRDefault="00106287" w:rsidP="00812609">
            <w:pPr>
              <w:keepNext/>
              <w:spacing w:before="60" w:line="276" w:lineRule="auto"/>
              <w:jc w:val="center"/>
              <w:rPr>
                <w:szCs w:val="24"/>
                <w:lang w:eastAsia="pl-PL"/>
              </w:rPr>
            </w:pPr>
            <w:r w:rsidRPr="00A44C51">
              <w:rPr>
                <w:szCs w:val="24"/>
                <w:lang w:eastAsia="pl-PL"/>
              </w:rPr>
              <w:t>Planowany termin realizacji działań</w:t>
            </w:r>
          </w:p>
        </w:tc>
      </w:tr>
      <w:tr w:rsidR="00106287" w:rsidRPr="00A44C51" w:rsidTr="00106287">
        <w:trPr>
          <w:trHeight w:val="1028"/>
        </w:trPr>
        <w:tc>
          <w:tcPr>
            <w:tcW w:w="2863" w:type="pct"/>
          </w:tcPr>
          <w:p w:rsidR="00106287" w:rsidRDefault="00106287" w:rsidP="00812609">
            <w:pPr>
              <w:keepNext/>
              <w:jc w:val="both"/>
              <w:rPr>
                <w:szCs w:val="24"/>
              </w:rPr>
            </w:pPr>
            <w:r w:rsidRPr="00B87961">
              <w:rPr>
                <w:szCs w:val="24"/>
              </w:rPr>
              <w:t xml:space="preserve">W ramach zadania realizowane będą działania związane z szerokim zakresem </w:t>
            </w:r>
            <w:r w:rsidRPr="00B87961">
              <w:rPr>
                <w:b/>
                <w:szCs w:val="24"/>
              </w:rPr>
              <w:t>analiz i ekspertyz</w:t>
            </w:r>
            <w:r w:rsidRPr="00B87961">
              <w:rPr>
                <w:szCs w:val="24"/>
              </w:rPr>
              <w:t xml:space="preserve"> dotyczących </w:t>
            </w:r>
            <w:r>
              <w:rPr>
                <w:szCs w:val="24"/>
              </w:rPr>
              <w:t>technologii, innowacyjnych rozwiązań</w:t>
            </w:r>
            <w:r w:rsidRPr="00B87961">
              <w:rPr>
                <w:szCs w:val="24"/>
              </w:rPr>
              <w:t xml:space="preserve"> i prac zleconych </w:t>
            </w:r>
            <w:r>
              <w:rPr>
                <w:szCs w:val="24"/>
              </w:rPr>
              <w:t xml:space="preserve"> UJ i/lub </w:t>
            </w:r>
            <w:r w:rsidRPr="00B87961">
              <w:rPr>
                <w:szCs w:val="24"/>
              </w:rPr>
              <w:t>UEK. Opracowania te będą wykonywane przez brokerów innowacji lub zleca</w:t>
            </w:r>
            <w:r>
              <w:rPr>
                <w:szCs w:val="24"/>
              </w:rPr>
              <w:t xml:space="preserve">ne do realizacji przez podmioty </w:t>
            </w:r>
            <w:r w:rsidRPr="00B87961">
              <w:rPr>
                <w:szCs w:val="24"/>
              </w:rPr>
              <w:t>zewnętrzne posi</w:t>
            </w:r>
            <w:r>
              <w:rPr>
                <w:szCs w:val="24"/>
              </w:rPr>
              <w:t xml:space="preserve">adające odpowiednie kompetencje </w:t>
            </w:r>
            <w:r w:rsidRPr="00B87961">
              <w:rPr>
                <w:szCs w:val="24"/>
              </w:rPr>
              <w:t xml:space="preserve">w danej branży. </w:t>
            </w:r>
            <w:r>
              <w:rPr>
                <w:szCs w:val="24"/>
              </w:rPr>
              <w:t>Zadanie obejmie wykonanie następujących rodzajów analiz:</w:t>
            </w:r>
          </w:p>
          <w:p w:rsidR="00106287" w:rsidRPr="00B87961" w:rsidRDefault="00106287" w:rsidP="00812609">
            <w:pPr>
              <w:keepNext/>
              <w:jc w:val="both"/>
              <w:rPr>
                <w:szCs w:val="24"/>
              </w:rPr>
            </w:pPr>
            <w:r w:rsidRPr="00B87961">
              <w:rPr>
                <w:szCs w:val="24"/>
              </w:rPr>
              <w:t>- Analizy oceniające gotowość do wdrożenia wynalazków, dla których ocena zdolności patentowej będzie pozytywna i dla których dokonane zostaną zgłoszenia patentowe;</w:t>
            </w:r>
          </w:p>
          <w:p w:rsidR="00106287" w:rsidRPr="00B87961" w:rsidRDefault="00106287" w:rsidP="00812609">
            <w:pPr>
              <w:keepNext/>
              <w:jc w:val="both"/>
              <w:rPr>
                <w:szCs w:val="24"/>
              </w:rPr>
            </w:pPr>
            <w:r w:rsidRPr="00B87961">
              <w:rPr>
                <w:szCs w:val="24"/>
              </w:rPr>
              <w:t xml:space="preserve">-  Analizy polskich </w:t>
            </w:r>
            <w:r>
              <w:rPr>
                <w:szCs w:val="24"/>
              </w:rPr>
              <w:t xml:space="preserve">i międzynarodowych </w:t>
            </w:r>
            <w:r w:rsidRPr="00B87961">
              <w:rPr>
                <w:szCs w:val="24"/>
              </w:rPr>
              <w:t>odbiorców wynalazków zgłoszonych do ochrony patentowej. Pod uwagę będą brane nie tylko firmy, które mogą być końcowymi wytwórcami produktów opartych na wynalazkach, ale także firmy, przy współudziale których możliwy będzie dalszy rozwój i zoptymalizowanie wynalazku;</w:t>
            </w:r>
          </w:p>
          <w:p w:rsidR="00106287" w:rsidRPr="00B87961" w:rsidRDefault="00106287" w:rsidP="00812609">
            <w:pPr>
              <w:keepNext/>
              <w:jc w:val="both"/>
              <w:rPr>
                <w:szCs w:val="24"/>
              </w:rPr>
            </w:pPr>
            <w:r w:rsidRPr="00B87961">
              <w:rPr>
                <w:szCs w:val="24"/>
              </w:rPr>
              <w:t>- Analizy „</w:t>
            </w:r>
            <w:proofErr w:type="spellStart"/>
            <w:r w:rsidRPr="00B87961">
              <w:rPr>
                <w:szCs w:val="24"/>
              </w:rPr>
              <w:t>freedom</w:t>
            </w:r>
            <w:proofErr w:type="spellEnd"/>
            <w:r w:rsidRPr="00B87961">
              <w:rPr>
                <w:szCs w:val="24"/>
              </w:rPr>
              <w:t xml:space="preserve"> to </w:t>
            </w:r>
            <w:proofErr w:type="spellStart"/>
            <w:r w:rsidRPr="00B87961">
              <w:rPr>
                <w:szCs w:val="24"/>
              </w:rPr>
              <w:t>operate</w:t>
            </w:r>
            <w:proofErr w:type="spellEnd"/>
            <w:r w:rsidRPr="00B87961">
              <w:rPr>
                <w:szCs w:val="24"/>
              </w:rPr>
              <w:t>” dla wybranych wynalazków będących najbliżej sfinalizowania procesu komercjalizacji. Ich celem będzie weryfikacja możliwości wdrożenia wynalazków na rynkach, na których nabywca technologii zaplanuje wdrożenie, bez ryzyka naruszenia interesów podmiotów i/lub osób trzecich;</w:t>
            </w:r>
          </w:p>
          <w:p w:rsidR="00106287" w:rsidRPr="00B87961" w:rsidRDefault="00106287" w:rsidP="00812609">
            <w:pPr>
              <w:keepNext/>
              <w:jc w:val="both"/>
              <w:rPr>
                <w:szCs w:val="24"/>
              </w:rPr>
            </w:pPr>
            <w:r w:rsidRPr="00B87961">
              <w:rPr>
                <w:szCs w:val="24"/>
              </w:rPr>
              <w:t xml:space="preserve">- Wyceny własności intelektualnej w celu ustalenia możliwych warunków umowy licencyjnej lub sprzedaży, ewentualnie określenia wartości aportu przekazanego do spółki </w:t>
            </w:r>
            <w:proofErr w:type="spellStart"/>
            <w:r w:rsidRPr="00B87961">
              <w:rPr>
                <w:szCs w:val="24"/>
              </w:rPr>
              <w:t>spin</w:t>
            </w:r>
            <w:proofErr w:type="spellEnd"/>
            <w:r w:rsidRPr="00B87961">
              <w:rPr>
                <w:szCs w:val="24"/>
              </w:rPr>
              <w:t>-off/</w:t>
            </w:r>
            <w:proofErr w:type="spellStart"/>
            <w:r w:rsidRPr="00B87961">
              <w:rPr>
                <w:szCs w:val="24"/>
              </w:rPr>
              <w:t>spin</w:t>
            </w:r>
            <w:proofErr w:type="spellEnd"/>
            <w:r w:rsidRPr="00B87961">
              <w:rPr>
                <w:szCs w:val="24"/>
              </w:rPr>
              <w:t>-out;</w:t>
            </w:r>
          </w:p>
          <w:p w:rsidR="00106287" w:rsidRPr="00B87961" w:rsidRDefault="00106287" w:rsidP="00812609">
            <w:pPr>
              <w:keepNext/>
              <w:jc w:val="both"/>
              <w:rPr>
                <w:szCs w:val="24"/>
              </w:rPr>
            </w:pPr>
            <w:r w:rsidRPr="00B87961">
              <w:rPr>
                <w:szCs w:val="24"/>
              </w:rPr>
              <w:t xml:space="preserve">- Analizy potencjału rynkowego oraz oceny zdolności patentowej, które będą podstawą do podjęcia decyzji </w:t>
            </w:r>
            <w:r>
              <w:rPr>
                <w:szCs w:val="24"/>
              </w:rPr>
              <w:t xml:space="preserve">               </w:t>
            </w:r>
            <w:r w:rsidRPr="00B87961">
              <w:rPr>
                <w:szCs w:val="24"/>
              </w:rPr>
              <w:t>o rozpoczęciu procesu ochrony tj. dokonaniu zgłoszenia patentowego;</w:t>
            </w:r>
          </w:p>
          <w:p w:rsidR="00106287" w:rsidRPr="00B87961" w:rsidRDefault="00106287" w:rsidP="00812609">
            <w:pPr>
              <w:keepNext/>
              <w:jc w:val="both"/>
              <w:rPr>
                <w:szCs w:val="24"/>
              </w:rPr>
            </w:pPr>
            <w:r w:rsidRPr="00B87961">
              <w:rPr>
                <w:szCs w:val="24"/>
              </w:rPr>
              <w:t>- Analizy ścieżek komercjalizacji wskazujące optymalną drogę rozwoju wynalazkó</w:t>
            </w:r>
            <w:r>
              <w:rPr>
                <w:szCs w:val="24"/>
              </w:rPr>
              <w:t xml:space="preserve">w pod kątem </w:t>
            </w:r>
            <w:r w:rsidRPr="00B87961">
              <w:rPr>
                <w:szCs w:val="24"/>
              </w:rPr>
              <w:t>ich komercyjnego zastosowania;</w:t>
            </w:r>
          </w:p>
          <w:p w:rsidR="00106287" w:rsidRDefault="00106287" w:rsidP="00812609">
            <w:pPr>
              <w:keepNext/>
              <w:jc w:val="both"/>
              <w:rPr>
                <w:szCs w:val="24"/>
              </w:rPr>
            </w:pPr>
            <w:r w:rsidRPr="00B87961">
              <w:rPr>
                <w:szCs w:val="24"/>
              </w:rPr>
              <w:t>- Analizy podmiotów biznesowych potencjalnie zainteresowanych usługami badawczymi UJ i UEK.</w:t>
            </w:r>
          </w:p>
          <w:p w:rsidR="00106287" w:rsidRDefault="00106287" w:rsidP="00812609">
            <w:pPr>
              <w:keepNext/>
              <w:jc w:val="both"/>
              <w:rPr>
                <w:szCs w:val="24"/>
              </w:rPr>
            </w:pPr>
          </w:p>
          <w:p w:rsidR="00106287" w:rsidRPr="001A498D" w:rsidRDefault="00106287" w:rsidP="00812609">
            <w:pPr>
              <w:keepNext/>
              <w:jc w:val="both"/>
              <w:rPr>
                <w:szCs w:val="24"/>
              </w:rPr>
            </w:pPr>
            <w:r>
              <w:rPr>
                <w:szCs w:val="24"/>
              </w:rPr>
              <w:t>Analizy zostaną opracowane z wykorzystaniem kompetencji brokerów innowacji UJ i UEK oraz komercyjnych baz informacji rynkowej (np. EMIS, Orbit) dostępnych m.in. dzięki wykorzystaniu środków z projektu „</w:t>
            </w:r>
            <w:r>
              <w:rPr>
                <w:i/>
                <w:szCs w:val="24"/>
              </w:rPr>
              <w:t>Inkubator Innowacyjności +”</w:t>
            </w:r>
            <w:r>
              <w:rPr>
                <w:szCs w:val="24"/>
              </w:rPr>
              <w:t>. Dzięki analizom możliwe będzie przygotowanie planów dotyczących optymalnych ścieżek komercjalizacji. Dzięki opracowaniu analiz możliwe będzie także udzielenie zespołom badawczym doradztwa w zakresie komercyjnego rozwoju prowadzonych przez nie projektów.</w:t>
            </w:r>
          </w:p>
          <w:p w:rsidR="00106287" w:rsidRPr="00B87961" w:rsidRDefault="00106287" w:rsidP="00812609">
            <w:pPr>
              <w:keepNext/>
              <w:jc w:val="both"/>
            </w:pPr>
            <w:r>
              <w:rPr>
                <w:szCs w:val="24"/>
              </w:rPr>
              <w:t xml:space="preserve">W ramach działania </w:t>
            </w:r>
            <w:r w:rsidRPr="009A0B6D">
              <w:rPr>
                <w:szCs w:val="24"/>
              </w:rPr>
              <w:t>przewiduje się samodzielne opracowanie lub zlecenie opracowania przez po</w:t>
            </w:r>
            <w:r>
              <w:rPr>
                <w:szCs w:val="24"/>
              </w:rPr>
              <w:t>dmioty zewnętrzne przynajmniej 4</w:t>
            </w:r>
            <w:r w:rsidRPr="009A0B6D">
              <w:rPr>
                <w:szCs w:val="24"/>
              </w:rPr>
              <w:t>0 analiz różnych typów.</w:t>
            </w:r>
          </w:p>
        </w:tc>
        <w:tc>
          <w:tcPr>
            <w:tcW w:w="2137" w:type="pct"/>
          </w:tcPr>
          <w:p w:rsidR="00106287" w:rsidRPr="00A44C51" w:rsidRDefault="00106287" w:rsidP="0035227E">
            <w:pPr>
              <w:spacing w:before="60"/>
              <w:jc w:val="center"/>
              <w:rPr>
                <w:szCs w:val="24"/>
                <w:lang w:eastAsia="pl-PL"/>
              </w:rPr>
            </w:pPr>
            <w:r>
              <w:rPr>
                <w:szCs w:val="24"/>
                <w:lang w:eastAsia="pl-PL"/>
              </w:rPr>
              <w:t>Cały okres realizacji projektu</w:t>
            </w:r>
          </w:p>
        </w:tc>
      </w:tr>
    </w:tbl>
    <w:p w:rsidR="00617176" w:rsidRDefault="00617176" w:rsidP="00B25E24">
      <w:pPr>
        <w:spacing w:before="60" w:line="276" w:lineRule="auto"/>
        <w:rPr>
          <w:szCs w:val="24"/>
          <w:lang w:eastAsia="pl-PL"/>
        </w:rPr>
      </w:pPr>
    </w:p>
    <w:tbl>
      <w:tblPr>
        <w:tblW w:w="4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3"/>
        <w:gridCol w:w="3698"/>
      </w:tblGrid>
      <w:tr w:rsidR="00617176" w:rsidRPr="0097346E" w:rsidTr="00106287">
        <w:trPr>
          <w:cantSplit/>
        </w:trPr>
        <w:tc>
          <w:tcPr>
            <w:tcW w:w="5000" w:type="pct"/>
            <w:gridSpan w:val="2"/>
            <w:shd w:val="clear" w:color="auto" w:fill="B8CCE4"/>
          </w:tcPr>
          <w:p w:rsidR="00617176" w:rsidRPr="0097346E" w:rsidRDefault="00617176" w:rsidP="00812609">
            <w:pPr>
              <w:keepNext/>
              <w:spacing w:before="60" w:line="276" w:lineRule="auto"/>
              <w:ind w:left="426"/>
              <w:jc w:val="both"/>
              <w:rPr>
                <w:szCs w:val="24"/>
                <w:lang w:eastAsia="pl-PL"/>
              </w:rPr>
            </w:pPr>
          </w:p>
          <w:p w:rsidR="00617176" w:rsidRPr="0097346E" w:rsidRDefault="00617176" w:rsidP="00812609">
            <w:pPr>
              <w:keepNext/>
              <w:spacing w:before="60" w:line="276" w:lineRule="auto"/>
              <w:jc w:val="both"/>
              <w:rPr>
                <w:szCs w:val="24"/>
                <w:lang w:eastAsia="pl-PL"/>
              </w:rPr>
            </w:pPr>
            <w:r>
              <w:rPr>
                <w:szCs w:val="24"/>
                <w:lang w:eastAsia="pl-PL"/>
              </w:rPr>
              <w:t xml:space="preserve">Zadanie 3. </w:t>
            </w:r>
            <w:r w:rsidRPr="0097346E">
              <w:rPr>
                <w:szCs w:val="24"/>
                <w:lang w:eastAsia="pl-PL"/>
              </w:rPr>
              <w:t>Zarządzanie portfelem technologii obejmujące w szczególności:</w:t>
            </w:r>
          </w:p>
          <w:p w:rsidR="00617176" w:rsidRPr="0097346E" w:rsidRDefault="00617176" w:rsidP="00812609">
            <w:pPr>
              <w:keepNext/>
              <w:numPr>
                <w:ilvl w:val="0"/>
                <w:numId w:val="23"/>
              </w:numPr>
              <w:spacing w:before="60" w:line="276" w:lineRule="auto"/>
              <w:jc w:val="both"/>
              <w:rPr>
                <w:szCs w:val="24"/>
                <w:lang w:eastAsia="pl-PL"/>
              </w:rPr>
            </w:pPr>
            <w:r w:rsidRPr="0097346E">
              <w:rPr>
                <w:szCs w:val="24"/>
                <w:lang w:eastAsia="pl-PL"/>
              </w:rPr>
              <w:t>monitorowanie i analizy wyników badań naukowych lub prac rozwojowych pod względem ich użyteczności praktycznej,</w:t>
            </w:r>
          </w:p>
          <w:p w:rsidR="00617176" w:rsidRPr="0097346E" w:rsidRDefault="00617176" w:rsidP="00812609">
            <w:pPr>
              <w:keepNext/>
              <w:numPr>
                <w:ilvl w:val="0"/>
                <w:numId w:val="23"/>
              </w:numPr>
              <w:spacing w:before="60" w:line="276" w:lineRule="auto"/>
              <w:jc w:val="both"/>
              <w:rPr>
                <w:szCs w:val="24"/>
                <w:lang w:eastAsia="pl-PL"/>
              </w:rPr>
            </w:pPr>
            <w:r w:rsidRPr="0097346E">
              <w:rPr>
                <w:szCs w:val="24"/>
                <w:lang w:eastAsia="pl-PL"/>
              </w:rPr>
              <w:t>analizy potrzeb rynku służące wyborowi tematów badań naukowych lub prac rozwojowych oraz badanie stanu techniki przed rozpoczęciem badań lub prac,</w:t>
            </w:r>
          </w:p>
          <w:p w:rsidR="00617176" w:rsidRPr="0097346E" w:rsidRDefault="00617176" w:rsidP="00812609">
            <w:pPr>
              <w:keepNext/>
              <w:numPr>
                <w:ilvl w:val="0"/>
                <w:numId w:val="23"/>
              </w:numPr>
              <w:spacing w:before="60" w:line="276" w:lineRule="auto"/>
              <w:jc w:val="both"/>
              <w:rPr>
                <w:szCs w:val="24"/>
                <w:lang w:eastAsia="pl-PL"/>
              </w:rPr>
            </w:pPr>
            <w:r w:rsidRPr="0097346E">
              <w:rPr>
                <w:szCs w:val="24"/>
                <w:lang w:eastAsia="pl-PL"/>
              </w:rPr>
              <w:t>prowadzenie bazy danych o realizowanych projektach badawcz</w:t>
            </w:r>
            <w:r>
              <w:rPr>
                <w:szCs w:val="24"/>
                <w:lang w:eastAsia="pl-PL"/>
              </w:rPr>
              <w:t>ych, osiągniętych rezultatach i </w:t>
            </w:r>
            <w:r w:rsidRPr="0097346E">
              <w:rPr>
                <w:szCs w:val="24"/>
                <w:lang w:eastAsia="pl-PL"/>
              </w:rPr>
              <w:t xml:space="preserve">możliwości ich zastosowania w praktyce, </w:t>
            </w:r>
          </w:p>
          <w:p w:rsidR="00617176" w:rsidRPr="0097346E" w:rsidRDefault="00617176" w:rsidP="00812609">
            <w:pPr>
              <w:keepNext/>
              <w:numPr>
                <w:ilvl w:val="0"/>
                <w:numId w:val="23"/>
              </w:numPr>
              <w:spacing w:before="60" w:line="276" w:lineRule="auto"/>
              <w:jc w:val="both"/>
              <w:rPr>
                <w:szCs w:val="24"/>
                <w:lang w:eastAsia="pl-PL"/>
              </w:rPr>
            </w:pPr>
            <w:r w:rsidRPr="0097346E">
              <w:rPr>
                <w:szCs w:val="24"/>
                <w:lang w:eastAsia="pl-PL"/>
              </w:rPr>
              <w:t>analizy możliwości uzyskania ochrony patentowej oraz możliwości komercjalizacji wyników badań naukowych i prac rozwojowych przed ich opublikowaniem</w:t>
            </w:r>
          </w:p>
          <w:p w:rsidR="00617176" w:rsidRPr="0097346E" w:rsidRDefault="00617176" w:rsidP="00812609">
            <w:pPr>
              <w:keepNext/>
              <w:spacing w:before="60" w:line="276" w:lineRule="auto"/>
              <w:ind w:left="426"/>
              <w:jc w:val="both"/>
              <w:rPr>
                <w:szCs w:val="24"/>
                <w:lang w:eastAsia="pl-PL"/>
              </w:rPr>
            </w:pPr>
          </w:p>
        </w:tc>
      </w:tr>
      <w:tr w:rsidR="00106287" w:rsidRPr="00A44C51" w:rsidTr="00106287">
        <w:trPr>
          <w:cantSplit/>
        </w:trPr>
        <w:tc>
          <w:tcPr>
            <w:tcW w:w="2948" w:type="pct"/>
            <w:shd w:val="clear" w:color="auto" w:fill="B8CCE4"/>
            <w:vAlign w:val="center"/>
          </w:tcPr>
          <w:p w:rsidR="00106287" w:rsidRPr="00A44C51" w:rsidRDefault="00106287" w:rsidP="00812609">
            <w:pPr>
              <w:keepNext/>
              <w:spacing w:before="60" w:line="276" w:lineRule="auto"/>
              <w:jc w:val="center"/>
              <w:rPr>
                <w:szCs w:val="24"/>
                <w:lang w:eastAsia="pl-PL"/>
              </w:rPr>
            </w:pPr>
            <w:r w:rsidRPr="00A44C51">
              <w:rPr>
                <w:szCs w:val="24"/>
                <w:lang w:eastAsia="pl-PL"/>
              </w:rPr>
              <w:t>Planowane działania służące realizacji tego zadania</w:t>
            </w:r>
          </w:p>
        </w:tc>
        <w:tc>
          <w:tcPr>
            <w:tcW w:w="2052" w:type="pct"/>
            <w:shd w:val="clear" w:color="auto" w:fill="B8CCE4"/>
            <w:vAlign w:val="center"/>
          </w:tcPr>
          <w:p w:rsidR="00106287" w:rsidRPr="00A44C51" w:rsidRDefault="00106287" w:rsidP="00812609">
            <w:pPr>
              <w:spacing w:before="60" w:line="276" w:lineRule="auto"/>
              <w:jc w:val="center"/>
              <w:rPr>
                <w:szCs w:val="24"/>
                <w:lang w:eastAsia="pl-PL"/>
              </w:rPr>
            </w:pPr>
            <w:r w:rsidRPr="00A44C51">
              <w:rPr>
                <w:szCs w:val="24"/>
                <w:lang w:eastAsia="pl-PL"/>
              </w:rPr>
              <w:t>Planowany termin realizacji działań</w:t>
            </w:r>
          </w:p>
        </w:tc>
      </w:tr>
      <w:tr w:rsidR="00106287" w:rsidRPr="00A44C51" w:rsidTr="00106287">
        <w:trPr>
          <w:cantSplit/>
          <w:trHeight w:val="1028"/>
        </w:trPr>
        <w:tc>
          <w:tcPr>
            <w:tcW w:w="2948" w:type="pct"/>
          </w:tcPr>
          <w:p w:rsidR="00106287" w:rsidRPr="006A6BBB" w:rsidRDefault="00106287" w:rsidP="00812609">
            <w:pPr>
              <w:keepNext/>
              <w:jc w:val="both"/>
            </w:pPr>
            <w:r w:rsidRPr="006A6BBB">
              <w:t xml:space="preserve">Stworzenie koncepcji mechanizmu współpracy opartego na tzw. </w:t>
            </w:r>
            <w:r w:rsidRPr="0079431B">
              <w:rPr>
                <w:i/>
              </w:rPr>
              <w:t>„</w:t>
            </w:r>
            <w:r w:rsidRPr="0079431B">
              <w:rPr>
                <w:b/>
                <w:i/>
              </w:rPr>
              <w:t>Autostradzie Innowacji”,</w:t>
            </w:r>
            <w:r w:rsidRPr="006A6BBB">
              <w:t xml:space="preserve"> na którą składać się będą:</w:t>
            </w:r>
          </w:p>
          <w:p w:rsidR="00106287" w:rsidRPr="006A6BBB" w:rsidRDefault="00106287" w:rsidP="00812609">
            <w:pPr>
              <w:keepNext/>
              <w:numPr>
                <w:ilvl w:val="0"/>
                <w:numId w:val="35"/>
              </w:numPr>
              <w:shd w:val="clear" w:color="auto" w:fill="FFFFFF"/>
              <w:rPr>
                <w:color w:val="000000"/>
                <w:lang w:eastAsia="pl-PL"/>
              </w:rPr>
            </w:pPr>
            <w:r>
              <w:rPr>
                <w:color w:val="000000"/>
                <w:lang w:eastAsia="pl-PL"/>
              </w:rPr>
              <w:t>s</w:t>
            </w:r>
            <w:r w:rsidRPr="006A6BBB">
              <w:rPr>
                <w:color w:val="000000"/>
                <w:lang w:eastAsia="pl-PL"/>
              </w:rPr>
              <w:t xml:space="preserve">potkania branżowe </w:t>
            </w:r>
          </w:p>
          <w:p w:rsidR="00106287" w:rsidRPr="006A6BBB" w:rsidRDefault="00106287" w:rsidP="00812609">
            <w:pPr>
              <w:keepNext/>
              <w:numPr>
                <w:ilvl w:val="0"/>
                <w:numId w:val="35"/>
              </w:numPr>
              <w:shd w:val="clear" w:color="auto" w:fill="FFFFFF"/>
              <w:rPr>
                <w:color w:val="000000"/>
                <w:lang w:eastAsia="pl-PL"/>
              </w:rPr>
            </w:pPr>
            <w:r>
              <w:rPr>
                <w:color w:val="000000"/>
                <w:lang w:eastAsia="pl-PL"/>
              </w:rPr>
              <w:t>i</w:t>
            </w:r>
            <w:r w:rsidRPr="006A6BBB">
              <w:rPr>
                <w:color w:val="000000"/>
                <w:lang w:eastAsia="pl-PL"/>
              </w:rPr>
              <w:t>ndywidualny mentoring i doradztwo – od opracowywania modeli biznesu po wsparcie w diagnozie problemu, audyt i wytyczenie drogi przezwyciężenia problemu –rozwoju,</w:t>
            </w:r>
          </w:p>
          <w:p w:rsidR="00106287" w:rsidRPr="006A6BBB" w:rsidRDefault="00106287" w:rsidP="00812609">
            <w:pPr>
              <w:keepNext/>
              <w:numPr>
                <w:ilvl w:val="0"/>
                <w:numId w:val="35"/>
              </w:numPr>
              <w:shd w:val="clear" w:color="auto" w:fill="FFFFFF"/>
              <w:rPr>
                <w:color w:val="000000"/>
                <w:lang w:eastAsia="pl-PL"/>
              </w:rPr>
            </w:pPr>
            <w:r>
              <w:rPr>
                <w:color w:val="000000"/>
                <w:lang w:eastAsia="pl-PL"/>
              </w:rPr>
              <w:t>p</w:t>
            </w:r>
            <w:r w:rsidRPr="006A6BBB">
              <w:rPr>
                <w:color w:val="000000"/>
                <w:lang w:eastAsia="pl-PL"/>
              </w:rPr>
              <w:t xml:space="preserve">omoc w identyfikacji partnerów z którymi możliwe będzie zrealizowanie konkretnych projektów </w:t>
            </w:r>
          </w:p>
          <w:p w:rsidR="00106287" w:rsidRPr="006A6BBB" w:rsidRDefault="00106287" w:rsidP="00812609">
            <w:pPr>
              <w:keepNext/>
              <w:numPr>
                <w:ilvl w:val="0"/>
                <w:numId w:val="35"/>
              </w:numPr>
              <w:shd w:val="clear" w:color="auto" w:fill="FFFFFF"/>
              <w:rPr>
                <w:color w:val="000000"/>
                <w:lang w:eastAsia="pl-PL"/>
              </w:rPr>
            </w:pPr>
            <w:r>
              <w:rPr>
                <w:color w:val="000000"/>
                <w:lang w:eastAsia="pl-PL"/>
              </w:rPr>
              <w:t>d</w:t>
            </w:r>
            <w:r w:rsidRPr="006A6BBB">
              <w:rPr>
                <w:color w:val="000000"/>
                <w:lang w:eastAsia="pl-PL"/>
              </w:rPr>
              <w:t xml:space="preserve">ziałania upowszechniające i promocyjne – po zrealizowaniu konkretnego projektu – </w:t>
            </w:r>
            <w:r>
              <w:rPr>
                <w:color w:val="000000"/>
                <w:lang w:eastAsia="pl-PL"/>
              </w:rPr>
              <w:t>promocja</w:t>
            </w:r>
            <w:r w:rsidRPr="006A6BBB">
              <w:rPr>
                <w:color w:val="000000"/>
                <w:lang w:eastAsia="pl-PL"/>
              </w:rPr>
              <w:t xml:space="preserve"> i p</w:t>
            </w:r>
            <w:r>
              <w:rPr>
                <w:color w:val="000000"/>
                <w:lang w:eastAsia="pl-PL"/>
              </w:rPr>
              <w:t xml:space="preserve">rezentacja </w:t>
            </w:r>
            <w:r w:rsidRPr="006A6BBB">
              <w:rPr>
                <w:color w:val="000000"/>
                <w:lang w:eastAsia="pl-PL"/>
              </w:rPr>
              <w:t xml:space="preserve"> dobre przykłady innym (</w:t>
            </w:r>
            <w:proofErr w:type="spellStart"/>
            <w:r w:rsidRPr="006A6BBB">
              <w:rPr>
                <w:color w:val="000000"/>
                <w:lang w:eastAsia="pl-PL"/>
              </w:rPr>
              <w:t>best</w:t>
            </w:r>
            <w:proofErr w:type="spellEnd"/>
            <w:r w:rsidRPr="006A6BBB">
              <w:rPr>
                <w:color w:val="000000"/>
                <w:lang w:eastAsia="pl-PL"/>
              </w:rPr>
              <w:t xml:space="preserve"> </w:t>
            </w:r>
            <w:proofErr w:type="spellStart"/>
            <w:r w:rsidRPr="006A6BBB">
              <w:rPr>
                <w:color w:val="000000"/>
                <w:lang w:eastAsia="pl-PL"/>
              </w:rPr>
              <w:t>practice</w:t>
            </w:r>
            <w:proofErr w:type="spellEnd"/>
            <w:r w:rsidRPr="006A6BBB">
              <w:rPr>
                <w:color w:val="000000"/>
                <w:lang w:eastAsia="pl-PL"/>
              </w:rPr>
              <w:t>).</w:t>
            </w:r>
          </w:p>
          <w:p w:rsidR="00106287" w:rsidRPr="006A6BBB" w:rsidRDefault="00106287" w:rsidP="00812609">
            <w:pPr>
              <w:keepNext/>
              <w:jc w:val="both"/>
            </w:pPr>
            <w:r w:rsidRPr="006A6BBB">
              <w:t xml:space="preserve">Stworzenie koncepcji: </w:t>
            </w:r>
            <w:r w:rsidRPr="006A6BBB">
              <w:rPr>
                <w:color w:val="000000"/>
                <w:shd w:val="clear" w:color="auto" w:fill="FFFFFF"/>
              </w:rPr>
              <w:t>“</w:t>
            </w:r>
            <w:r w:rsidRPr="00CE0E92">
              <w:rPr>
                <w:b/>
                <w:i/>
                <w:color w:val="000000"/>
                <w:shd w:val="clear" w:color="auto" w:fill="FFFFFF"/>
              </w:rPr>
              <w:t>Bazy problemów badawczych</w:t>
            </w:r>
            <w:r w:rsidRPr="006A6BBB">
              <w:rPr>
                <w:color w:val="000000"/>
                <w:shd w:val="clear" w:color="auto" w:fill="FFFFFF"/>
              </w:rPr>
              <w:t xml:space="preserve">” zawierającej identyfikację problemów badawczych </w:t>
            </w:r>
            <w:r>
              <w:rPr>
                <w:color w:val="000000"/>
                <w:shd w:val="clear" w:color="auto" w:fill="FFFFFF"/>
              </w:rPr>
              <w:t>rozpoznanych</w:t>
            </w:r>
            <w:r w:rsidRPr="006A6BBB">
              <w:rPr>
                <w:color w:val="000000"/>
                <w:shd w:val="clear" w:color="auto" w:fill="FFFFFF"/>
              </w:rPr>
              <w:t xml:space="preserve"> podczas wizyt studyjnych u partnerów biznesowych. Baza wskazywać będzie na aktualne zapotrzebowanie na prace badawczo-rozwojowe zdefiniowane u naszych partnerów biznesowych. </w:t>
            </w:r>
          </w:p>
          <w:p w:rsidR="00106287" w:rsidRDefault="00106287" w:rsidP="00812609">
            <w:pPr>
              <w:keepNext/>
              <w:numPr>
                <w:ilvl w:val="0"/>
                <w:numId w:val="34"/>
              </w:numPr>
              <w:jc w:val="both"/>
            </w:pPr>
            <w:r w:rsidRPr="006A6BBB">
              <w:t>Organizacja spotkań informacyjnych i konferencji naukowych</w:t>
            </w:r>
            <w:r>
              <w:t>, spotkań z partnerami biznesowymi, udział w targach.</w:t>
            </w:r>
          </w:p>
          <w:p w:rsidR="00106287" w:rsidRDefault="00106287" w:rsidP="00812609">
            <w:pPr>
              <w:keepNext/>
              <w:numPr>
                <w:ilvl w:val="0"/>
                <w:numId w:val="34"/>
              </w:numPr>
              <w:jc w:val="both"/>
            </w:pPr>
            <w:r>
              <w:t>Organizacja wizyt studyjnych.</w:t>
            </w:r>
          </w:p>
          <w:p w:rsidR="00106287" w:rsidRPr="00B87961" w:rsidRDefault="00106287" w:rsidP="00812609">
            <w:pPr>
              <w:keepNext/>
              <w:jc w:val="both"/>
              <w:rPr>
                <w:szCs w:val="24"/>
              </w:rPr>
            </w:pPr>
          </w:p>
        </w:tc>
        <w:tc>
          <w:tcPr>
            <w:tcW w:w="2052" w:type="pct"/>
          </w:tcPr>
          <w:p w:rsidR="00106287" w:rsidRPr="00A44C51" w:rsidRDefault="00106287" w:rsidP="0035227E">
            <w:pPr>
              <w:spacing w:before="60"/>
              <w:jc w:val="center"/>
              <w:rPr>
                <w:szCs w:val="24"/>
                <w:lang w:eastAsia="pl-PL"/>
              </w:rPr>
            </w:pPr>
            <w:r>
              <w:rPr>
                <w:szCs w:val="24"/>
                <w:lang w:eastAsia="pl-PL"/>
              </w:rPr>
              <w:t>Cały okres realizacji projektu</w:t>
            </w:r>
          </w:p>
        </w:tc>
      </w:tr>
      <w:tr w:rsidR="00106287" w:rsidRPr="00A44C51" w:rsidTr="00106287">
        <w:trPr>
          <w:cantSplit/>
          <w:trHeight w:val="1028"/>
        </w:trPr>
        <w:tc>
          <w:tcPr>
            <w:tcW w:w="2948" w:type="pct"/>
          </w:tcPr>
          <w:p w:rsidR="00106287" w:rsidRDefault="00106287" w:rsidP="0035227E">
            <w:pPr>
              <w:jc w:val="both"/>
              <w:rPr>
                <w:szCs w:val="24"/>
              </w:rPr>
            </w:pPr>
            <w:r w:rsidRPr="00B87961">
              <w:rPr>
                <w:szCs w:val="24"/>
              </w:rPr>
              <w:t xml:space="preserve">W celu zidentyfikowania wyników badań o potencjale wdrożeniowym prowadzony będzie </w:t>
            </w:r>
            <w:r w:rsidRPr="00783856">
              <w:rPr>
                <w:b/>
                <w:szCs w:val="24"/>
              </w:rPr>
              <w:t>stały monitoring projektów składanych, uzyskanych i realizowanych przez zespoły badawcze UEK</w:t>
            </w:r>
            <w:r w:rsidRPr="00B87961">
              <w:rPr>
                <w:szCs w:val="24"/>
              </w:rPr>
              <w:t xml:space="preserve">. Identyfikacji tej brokerzy innowacji będą dokonywać m.in. na podstawie danych z wewnętrznych jednostek uczelni odpowiedzialnych za proces aplikowania o fundusze. Kluczowym sposobem monitorowania projektów prowadzonych badań będą jednak indywidualne spotkania brokerów innowacji z zespołami badawczymi. Na spotkaniach tych omawiane będą planowane i realizowane w zespole badania, ich wyniki oraz możliwości zastosowania praktycznego. Ważnymi elementami działań w tym zakresie będzie także udział brokerów innowacji w konferencjach naukowych organizowanych przez obie uczelnie oraz inicjatywach organizacji studenckich i doktoranckich. </w:t>
            </w:r>
          </w:p>
          <w:p w:rsidR="00106287" w:rsidRPr="00B87961" w:rsidRDefault="00106287" w:rsidP="0035227E">
            <w:pPr>
              <w:jc w:val="both"/>
              <w:rPr>
                <w:szCs w:val="24"/>
              </w:rPr>
            </w:pPr>
            <w:r w:rsidRPr="00B87961">
              <w:rPr>
                <w:szCs w:val="24"/>
              </w:rPr>
              <w:t>W ramach projektu kontynuowane będą także działania mające na celu zapoznanie pracowników, doktorantów i studentów z zasadami współpracy z biznesem.</w:t>
            </w:r>
          </w:p>
        </w:tc>
        <w:tc>
          <w:tcPr>
            <w:tcW w:w="2052" w:type="pct"/>
          </w:tcPr>
          <w:p w:rsidR="00106287" w:rsidRPr="00A44C51" w:rsidRDefault="00106287" w:rsidP="0035227E">
            <w:pPr>
              <w:spacing w:before="60"/>
              <w:jc w:val="center"/>
              <w:rPr>
                <w:szCs w:val="24"/>
                <w:lang w:eastAsia="pl-PL"/>
              </w:rPr>
            </w:pPr>
            <w:r>
              <w:rPr>
                <w:szCs w:val="24"/>
                <w:lang w:eastAsia="pl-PL"/>
              </w:rPr>
              <w:t>Cały okres realizacji projektu</w:t>
            </w:r>
          </w:p>
        </w:tc>
      </w:tr>
      <w:tr w:rsidR="00106287" w:rsidRPr="00A44C51" w:rsidTr="00106287">
        <w:trPr>
          <w:cantSplit/>
          <w:trHeight w:val="1240"/>
        </w:trPr>
        <w:tc>
          <w:tcPr>
            <w:tcW w:w="2948" w:type="pct"/>
          </w:tcPr>
          <w:p w:rsidR="00106287" w:rsidRPr="00B87961" w:rsidRDefault="00106287" w:rsidP="006F2744">
            <w:pPr>
              <w:jc w:val="both"/>
              <w:rPr>
                <w:szCs w:val="24"/>
              </w:rPr>
            </w:pPr>
            <w:r>
              <w:rPr>
                <w:szCs w:val="24"/>
              </w:rPr>
              <w:t xml:space="preserve">W celu promocji portfolio technologicznego i oferty usługowej UJ i/lub UEK konsorcjanci stale powiększać będą </w:t>
            </w:r>
            <w:r w:rsidRPr="00225D08">
              <w:rPr>
                <w:b/>
                <w:szCs w:val="24"/>
              </w:rPr>
              <w:t>liczbę ofert promocyjnych zamieszczanych w różnego rodzaju bazach technologicznych</w:t>
            </w:r>
            <w:r>
              <w:rPr>
                <w:szCs w:val="24"/>
              </w:rPr>
              <w:t xml:space="preserve">, w tym bazie </w:t>
            </w:r>
            <w:r w:rsidRPr="00896C32">
              <w:rPr>
                <w:szCs w:val="24"/>
              </w:rPr>
              <w:t>www.sciencemarket.pl</w:t>
            </w:r>
            <w:r>
              <w:rPr>
                <w:szCs w:val="24"/>
              </w:rPr>
              <w:t xml:space="preserve"> oraz komercyjnych bazach technologicznych (np. </w:t>
            </w:r>
            <w:r w:rsidRPr="00896C32">
              <w:rPr>
                <w:szCs w:val="24"/>
              </w:rPr>
              <w:t>www.innoget.com</w:t>
            </w:r>
            <w:r>
              <w:rPr>
                <w:szCs w:val="24"/>
              </w:rPr>
              <w:t xml:space="preserve">). W trakcie realizacji projektu planowane jest zamieszczenie w bazach przynajmniej 20 nowych ofert. W celu zapewnienia możliwości nieograniczonej modyfikacji pod kątem potrzeb konsorcjantów w trakcie projektu zostaną także wykupione prawa autorskie do bazy technologicznej </w:t>
            </w:r>
            <w:r w:rsidRPr="006F2744">
              <w:rPr>
                <w:szCs w:val="24"/>
              </w:rPr>
              <w:t>www.sciencemarket.pl</w:t>
            </w:r>
            <w:r>
              <w:rPr>
                <w:szCs w:val="24"/>
              </w:rPr>
              <w:t xml:space="preserve">. </w:t>
            </w:r>
          </w:p>
        </w:tc>
        <w:tc>
          <w:tcPr>
            <w:tcW w:w="2052" w:type="pct"/>
          </w:tcPr>
          <w:p w:rsidR="00106287" w:rsidRDefault="00106287" w:rsidP="00896C32">
            <w:pPr>
              <w:spacing w:before="60"/>
              <w:jc w:val="center"/>
              <w:rPr>
                <w:szCs w:val="24"/>
                <w:lang w:eastAsia="pl-PL"/>
              </w:rPr>
            </w:pPr>
            <w:r>
              <w:rPr>
                <w:szCs w:val="24"/>
                <w:lang w:eastAsia="pl-PL"/>
              </w:rPr>
              <w:t>Cały okres realizacji projektu</w:t>
            </w:r>
          </w:p>
        </w:tc>
      </w:tr>
      <w:tr w:rsidR="00106287" w:rsidRPr="00A44C51" w:rsidTr="00106287">
        <w:trPr>
          <w:cantSplit/>
          <w:trHeight w:val="1240"/>
        </w:trPr>
        <w:tc>
          <w:tcPr>
            <w:tcW w:w="2948" w:type="pct"/>
          </w:tcPr>
          <w:p w:rsidR="00106287" w:rsidRPr="009A0B6D" w:rsidRDefault="00106287" w:rsidP="00225D08">
            <w:pPr>
              <w:jc w:val="both"/>
              <w:rPr>
                <w:szCs w:val="24"/>
              </w:rPr>
            </w:pPr>
            <w:r w:rsidRPr="009A0B6D">
              <w:rPr>
                <w:szCs w:val="24"/>
              </w:rPr>
              <w:t xml:space="preserve">Dla wybranych wynalazków UJ i/lub UEK, dla których wynik oceny zdolności patentowej będzie pozytywny dokonane zostaną </w:t>
            </w:r>
            <w:r w:rsidRPr="009A0B6D">
              <w:rPr>
                <w:b/>
                <w:szCs w:val="24"/>
              </w:rPr>
              <w:t>zgłoszenia patentowe krajowe lub zagraniczne</w:t>
            </w:r>
            <w:r w:rsidRPr="009A0B6D">
              <w:rPr>
                <w:szCs w:val="24"/>
              </w:rPr>
              <w:t xml:space="preserve"> w zależności od rekomendacji wynikających z wykonanej wcześniej analizy rynku. Zgłoszeń tych będą dokonywali zewnętrzni rzecznicy patentowi specjalizujący się w branży, której dotyczyć będzie wynalazek. Rzecznicy ci będą następnie reprezentować UJ </w:t>
            </w:r>
            <w:r>
              <w:rPr>
                <w:szCs w:val="24"/>
              </w:rPr>
              <w:t xml:space="preserve">i/lub UEK </w:t>
            </w:r>
            <w:r w:rsidRPr="009A0B6D">
              <w:rPr>
                <w:szCs w:val="24"/>
              </w:rPr>
              <w:t xml:space="preserve">przed stosownymi urzędami patentowymi w kraju i za granicą w celu kontynuowania procedury patentowej. </w:t>
            </w:r>
          </w:p>
          <w:p w:rsidR="00106287" w:rsidRDefault="00106287" w:rsidP="00225D08">
            <w:pPr>
              <w:jc w:val="both"/>
              <w:rPr>
                <w:szCs w:val="24"/>
              </w:rPr>
            </w:pPr>
            <w:r w:rsidRPr="009A0B6D">
              <w:rPr>
                <w:szCs w:val="24"/>
              </w:rPr>
              <w:t xml:space="preserve">W ramach projektu przewiduje się dokonanie przynajmniej </w:t>
            </w:r>
            <w:r>
              <w:rPr>
                <w:szCs w:val="24"/>
              </w:rPr>
              <w:t>40</w:t>
            </w:r>
            <w:r w:rsidRPr="009A0B6D">
              <w:rPr>
                <w:szCs w:val="24"/>
              </w:rPr>
              <w:t xml:space="preserve"> zgłoszeń patentowych (w Polsce, w trybie PCT, zgłoszeń w tzw. fazach krajowych)</w:t>
            </w:r>
            <w:r>
              <w:rPr>
                <w:szCs w:val="24"/>
              </w:rPr>
              <w:t>.</w:t>
            </w:r>
          </w:p>
        </w:tc>
        <w:tc>
          <w:tcPr>
            <w:tcW w:w="2052" w:type="pct"/>
          </w:tcPr>
          <w:p w:rsidR="00106287" w:rsidRDefault="00106287" w:rsidP="00896C32">
            <w:pPr>
              <w:spacing w:before="60"/>
              <w:jc w:val="center"/>
              <w:rPr>
                <w:szCs w:val="24"/>
                <w:lang w:eastAsia="pl-PL"/>
              </w:rPr>
            </w:pPr>
            <w:r>
              <w:rPr>
                <w:szCs w:val="24"/>
                <w:lang w:eastAsia="pl-PL"/>
              </w:rPr>
              <w:t>Cały okres realizacji projektu</w:t>
            </w:r>
          </w:p>
        </w:tc>
      </w:tr>
    </w:tbl>
    <w:p w:rsidR="00617176" w:rsidRDefault="00617176" w:rsidP="00B25E24">
      <w:pPr>
        <w:spacing w:before="60" w:line="276" w:lineRule="auto"/>
        <w:jc w:val="both"/>
        <w:rPr>
          <w:sz w:val="12"/>
          <w:szCs w:val="12"/>
          <w:lang w:eastAsia="pl-PL"/>
        </w:rPr>
      </w:pPr>
    </w:p>
    <w:p w:rsidR="00F21FA5" w:rsidRPr="00DB03FA" w:rsidRDefault="00F21FA5" w:rsidP="00B25E24">
      <w:pPr>
        <w:spacing w:before="60" w:line="276" w:lineRule="auto"/>
        <w:jc w:val="both"/>
        <w:rPr>
          <w:sz w:val="12"/>
          <w:szCs w:val="12"/>
          <w:lang w:eastAsia="pl-PL"/>
        </w:rPr>
      </w:pPr>
    </w:p>
    <w:p w:rsidR="00617176" w:rsidRPr="00DB03FA" w:rsidRDefault="00617176" w:rsidP="00B25E24">
      <w:pPr>
        <w:spacing w:before="60" w:line="276" w:lineRule="auto"/>
        <w:jc w:val="both"/>
        <w:rPr>
          <w:sz w:val="12"/>
          <w:szCs w:val="12"/>
          <w:lang w:eastAsia="pl-PL"/>
        </w:rPr>
      </w:pP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7"/>
        <w:gridCol w:w="3532"/>
      </w:tblGrid>
      <w:tr w:rsidR="00617176" w:rsidRPr="0097346E" w:rsidTr="00106287">
        <w:tc>
          <w:tcPr>
            <w:tcW w:w="5000" w:type="pct"/>
            <w:gridSpan w:val="2"/>
            <w:shd w:val="clear" w:color="auto" w:fill="B8CCE4"/>
          </w:tcPr>
          <w:p w:rsidR="00617176" w:rsidRPr="0097346E" w:rsidRDefault="00617176" w:rsidP="00F21FA5">
            <w:pPr>
              <w:keepNext/>
              <w:spacing w:before="60" w:line="276" w:lineRule="auto"/>
              <w:ind w:left="426"/>
              <w:jc w:val="both"/>
              <w:rPr>
                <w:szCs w:val="24"/>
                <w:lang w:eastAsia="pl-PL"/>
              </w:rPr>
            </w:pPr>
          </w:p>
          <w:p w:rsidR="00617176" w:rsidRPr="0097346E" w:rsidRDefault="00617176" w:rsidP="00F21FA5">
            <w:pPr>
              <w:keepNext/>
              <w:spacing w:before="60" w:line="276" w:lineRule="auto"/>
              <w:jc w:val="both"/>
              <w:rPr>
                <w:szCs w:val="24"/>
                <w:lang w:eastAsia="pl-PL"/>
              </w:rPr>
            </w:pPr>
            <w:r>
              <w:rPr>
                <w:szCs w:val="24"/>
                <w:lang w:eastAsia="pl-PL"/>
              </w:rPr>
              <w:t xml:space="preserve">Zadanie 4. </w:t>
            </w:r>
            <w:r w:rsidRPr="0097346E">
              <w:rPr>
                <w:szCs w:val="24"/>
                <w:lang w:eastAsia="pl-PL"/>
              </w:rPr>
              <w:t xml:space="preserve">Prowadzenie prac przedwdrożeniowych, w tym dodatkowych testów laboratoryjnych lub dostosowania wynalazku do potrzeb zainteresowanego nabywcy, których koszt </w:t>
            </w:r>
            <w:r>
              <w:rPr>
                <w:szCs w:val="24"/>
                <w:lang w:eastAsia="pl-PL"/>
              </w:rPr>
              <w:t>nie może przekroczyć 10</w:t>
            </w:r>
            <w:r w:rsidRPr="0097346E">
              <w:rPr>
                <w:szCs w:val="24"/>
                <w:lang w:eastAsia="pl-PL"/>
              </w:rPr>
              <w:t>0 tys. zł</w:t>
            </w:r>
          </w:p>
          <w:p w:rsidR="00617176" w:rsidRPr="0097346E" w:rsidRDefault="00617176" w:rsidP="00F21FA5">
            <w:pPr>
              <w:keepNext/>
              <w:spacing w:before="60" w:line="276" w:lineRule="auto"/>
              <w:ind w:left="426"/>
              <w:jc w:val="both"/>
              <w:rPr>
                <w:szCs w:val="24"/>
                <w:lang w:eastAsia="pl-PL"/>
              </w:rPr>
            </w:pPr>
          </w:p>
        </w:tc>
      </w:tr>
      <w:tr w:rsidR="00106287" w:rsidRPr="00A44C51" w:rsidTr="00106287">
        <w:tc>
          <w:tcPr>
            <w:tcW w:w="3046" w:type="pct"/>
            <w:shd w:val="clear" w:color="auto" w:fill="B8CCE4"/>
            <w:vAlign w:val="center"/>
          </w:tcPr>
          <w:p w:rsidR="00106287" w:rsidRPr="00A44C51" w:rsidRDefault="00106287" w:rsidP="00812609">
            <w:pPr>
              <w:spacing w:before="60" w:line="276" w:lineRule="auto"/>
              <w:jc w:val="center"/>
              <w:rPr>
                <w:szCs w:val="24"/>
                <w:lang w:eastAsia="pl-PL"/>
              </w:rPr>
            </w:pPr>
            <w:r w:rsidRPr="00A44C51">
              <w:rPr>
                <w:szCs w:val="24"/>
                <w:lang w:eastAsia="pl-PL"/>
              </w:rPr>
              <w:t>Planowane działania służące realizacji tego zadania</w:t>
            </w:r>
          </w:p>
        </w:tc>
        <w:tc>
          <w:tcPr>
            <w:tcW w:w="1954" w:type="pct"/>
            <w:shd w:val="clear" w:color="auto" w:fill="B8CCE4"/>
            <w:vAlign w:val="center"/>
          </w:tcPr>
          <w:p w:rsidR="00106287" w:rsidRPr="00A44C51" w:rsidRDefault="00106287" w:rsidP="00812609">
            <w:pPr>
              <w:keepNext/>
              <w:spacing w:before="60" w:line="276" w:lineRule="auto"/>
              <w:jc w:val="center"/>
              <w:rPr>
                <w:szCs w:val="24"/>
                <w:lang w:eastAsia="pl-PL"/>
              </w:rPr>
            </w:pPr>
            <w:r w:rsidRPr="00A44C51">
              <w:rPr>
                <w:szCs w:val="24"/>
                <w:lang w:eastAsia="pl-PL"/>
              </w:rPr>
              <w:t>Planowany termin realizacji działań</w:t>
            </w:r>
          </w:p>
        </w:tc>
      </w:tr>
      <w:tr w:rsidR="00106287" w:rsidRPr="00A44C51" w:rsidTr="00106287">
        <w:trPr>
          <w:trHeight w:val="1028"/>
        </w:trPr>
        <w:tc>
          <w:tcPr>
            <w:tcW w:w="3046" w:type="pct"/>
          </w:tcPr>
          <w:p w:rsidR="00106287" w:rsidRPr="00B87961" w:rsidRDefault="00106287" w:rsidP="002A0B6B">
            <w:pPr>
              <w:jc w:val="both"/>
              <w:rPr>
                <w:szCs w:val="24"/>
              </w:rPr>
            </w:pPr>
            <w:r w:rsidRPr="00B87961">
              <w:rPr>
                <w:szCs w:val="24"/>
              </w:rPr>
              <w:t xml:space="preserve">Dla wybranych przynajmniej </w:t>
            </w:r>
            <w:r>
              <w:rPr>
                <w:szCs w:val="24"/>
              </w:rPr>
              <w:t>8</w:t>
            </w:r>
            <w:r w:rsidRPr="00B87961">
              <w:rPr>
                <w:szCs w:val="24"/>
              </w:rPr>
              <w:t xml:space="preserve"> </w:t>
            </w:r>
            <w:r>
              <w:rPr>
                <w:szCs w:val="24"/>
              </w:rPr>
              <w:t>technologii, innowacyjnych rozwiązań lub</w:t>
            </w:r>
            <w:r w:rsidRPr="00B87961">
              <w:rPr>
                <w:szCs w:val="24"/>
              </w:rPr>
              <w:t xml:space="preserve"> usług badawczych </w:t>
            </w:r>
            <w:r>
              <w:rPr>
                <w:szCs w:val="24"/>
              </w:rPr>
              <w:t xml:space="preserve">UJ i\lub </w:t>
            </w:r>
            <w:r w:rsidRPr="00B87961">
              <w:rPr>
                <w:szCs w:val="24"/>
              </w:rPr>
              <w:t xml:space="preserve">UEK o wysokim potencjale wdrożeniowym </w:t>
            </w:r>
            <w:r w:rsidRPr="00B87961">
              <w:t xml:space="preserve">(zarówno dla będących już w portfolio uczelni jak i nowo zidentyfikowanych) </w:t>
            </w:r>
            <w:r w:rsidRPr="00B87961">
              <w:rPr>
                <w:szCs w:val="24"/>
              </w:rPr>
              <w:t xml:space="preserve">zostaną wykonane dodatkowe </w:t>
            </w:r>
            <w:r w:rsidRPr="00B87961">
              <w:rPr>
                <w:b/>
                <w:szCs w:val="24"/>
              </w:rPr>
              <w:t>prace badawczo-przedwdrożeniowe</w:t>
            </w:r>
            <w:r w:rsidRPr="00B87961">
              <w:rPr>
                <w:szCs w:val="24"/>
              </w:rPr>
              <w:t xml:space="preserve"> (w tym ekspertyzy), które </w:t>
            </w:r>
            <w:r>
              <w:rPr>
                <w:szCs w:val="24"/>
              </w:rPr>
              <w:t>będą stanowiły odpowiedź na</w:t>
            </w:r>
            <w:r w:rsidRPr="00B87961">
              <w:rPr>
                <w:szCs w:val="24"/>
              </w:rPr>
              <w:t xml:space="preserve"> zadawane przez potencjalnych nabywców </w:t>
            </w:r>
            <w:r>
              <w:rPr>
                <w:szCs w:val="24"/>
              </w:rPr>
              <w:t xml:space="preserve">rozwiązań pytania, w szczególności te mające </w:t>
            </w:r>
            <w:r w:rsidRPr="00B87961">
              <w:rPr>
                <w:szCs w:val="24"/>
              </w:rPr>
              <w:t>zasadnicze znaczenie dla podjęcia właściwej decyzji o sposobie i możliwości komercjalizacji wynalazku</w:t>
            </w:r>
            <w:r>
              <w:rPr>
                <w:szCs w:val="24"/>
              </w:rPr>
              <w:t>/usługi badawczej</w:t>
            </w:r>
            <w:r w:rsidRPr="00B87961">
              <w:rPr>
                <w:szCs w:val="24"/>
              </w:rPr>
              <w:t>. Decyzje o wykonaniu badań zostaną podjęte przez powołaną na początku realizacji pro</w:t>
            </w:r>
            <w:r>
              <w:rPr>
                <w:szCs w:val="24"/>
              </w:rPr>
              <w:t xml:space="preserve">jektu radę inwestycyjną złożoną z </w:t>
            </w:r>
            <w:r w:rsidRPr="00B87961">
              <w:rPr>
                <w:szCs w:val="24"/>
              </w:rPr>
              <w:t xml:space="preserve">przedstawicieli konsorcjantów, środowisk biznesowych i funduszy inwestycyjnych na podstawie planu badawczego zaakceptowanego przez zespół badawczy i ew. potencjalnego nabywcę oraz kosztorysu zaproponowanego przez zespół badawczy. W zależności od rzeczywistego zapotrzebowania </w:t>
            </w:r>
            <w:r>
              <w:rPr>
                <w:szCs w:val="24"/>
              </w:rPr>
              <w:t xml:space="preserve">                </w:t>
            </w:r>
            <w:r w:rsidRPr="00B87961">
              <w:rPr>
                <w:szCs w:val="24"/>
              </w:rPr>
              <w:t>w ramach tego zadania będą finansowane wynagrodzenia dla zespołów naukowych realizujących badania przedwdrożeniowe, związane z nimi wydatki materiałowe, koszty zakupu zewnętrznych usług badawczych, analiz, raportów i baz danych, koszty podróży służbowych związanych z reali</w:t>
            </w:r>
            <w:r>
              <w:rPr>
                <w:szCs w:val="24"/>
              </w:rPr>
              <w:t xml:space="preserve">zacją badań przedwdrożeniowych </w:t>
            </w:r>
            <w:r w:rsidRPr="00B87961">
              <w:rPr>
                <w:szCs w:val="24"/>
              </w:rPr>
              <w:t>oraz wydatki związane z promocją wyników badań</w:t>
            </w:r>
            <w:r>
              <w:rPr>
                <w:szCs w:val="24"/>
              </w:rPr>
              <w:t xml:space="preserve"> </w:t>
            </w:r>
            <w:r w:rsidRPr="00B87961">
              <w:rPr>
                <w:szCs w:val="24"/>
              </w:rPr>
              <w:t xml:space="preserve">przedwdrożeniowych. </w:t>
            </w:r>
            <w:r w:rsidRPr="00B87961">
              <w:rPr>
                <w:szCs w:val="24"/>
              </w:rPr>
              <w:br/>
              <w:t>Szczegółowe kryteria i sposób wyboru technologii, wynalazków i/lub usług badawczych, dla których przeprowadzone będą badania zostaną określone na początku realizacji projektu przez zespół CTT CITTRU</w:t>
            </w:r>
            <w:r>
              <w:rPr>
                <w:szCs w:val="24"/>
              </w:rPr>
              <w:t xml:space="preserve"> i UEK oraz</w:t>
            </w:r>
            <w:r w:rsidRPr="00B87961">
              <w:rPr>
                <w:szCs w:val="24"/>
              </w:rPr>
              <w:t xml:space="preserve"> zatwierdzone przez radę inwestycyjną.</w:t>
            </w:r>
          </w:p>
        </w:tc>
        <w:tc>
          <w:tcPr>
            <w:tcW w:w="1954" w:type="pct"/>
          </w:tcPr>
          <w:p w:rsidR="00106287" w:rsidRPr="00A44C51" w:rsidRDefault="00106287" w:rsidP="0035227E">
            <w:pPr>
              <w:spacing w:before="60"/>
              <w:jc w:val="center"/>
              <w:rPr>
                <w:szCs w:val="24"/>
                <w:lang w:eastAsia="pl-PL"/>
              </w:rPr>
            </w:pPr>
            <w:r>
              <w:rPr>
                <w:szCs w:val="24"/>
                <w:lang w:eastAsia="pl-PL"/>
              </w:rPr>
              <w:t>Cały okres realizacji projektu</w:t>
            </w:r>
          </w:p>
        </w:tc>
      </w:tr>
    </w:tbl>
    <w:p w:rsidR="00617176" w:rsidRDefault="00617176" w:rsidP="00B25E24">
      <w:pPr>
        <w:spacing w:line="312" w:lineRule="auto"/>
        <w:rPr>
          <w:szCs w:val="24"/>
        </w:rPr>
      </w:pPr>
    </w:p>
    <w:p w:rsidR="00F21FA5" w:rsidRDefault="00F21FA5" w:rsidP="00B25E24">
      <w:pPr>
        <w:spacing w:line="312" w:lineRule="auto"/>
        <w:rPr>
          <w:szCs w:val="24"/>
        </w:rPr>
      </w:pPr>
    </w:p>
    <w:p w:rsidR="00F21FA5" w:rsidRDefault="00F21FA5" w:rsidP="00B25E24">
      <w:pPr>
        <w:spacing w:line="312" w:lineRule="auto"/>
        <w:rPr>
          <w:szCs w:val="24"/>
        </w:rPr>
      </w:pPr>
    </w:p>
    <w:p w:rsidR="00F21FA5" w:rsidRDefault="00F21FA5" w:rsidP="00B25E24">
      <w:pPr>
        <w:spacing w:line="312" w:lineRule="auto"/>
        <w:rPr>
          <w:szCs w:val="24"/>
        </w:rPr>
      </w:pPr>
    </w:p>
    <w:p w:rsidR="00F21FA5" w:rsidRDefault="00F21FA5" w:rsidP="00B25E24">
      <w:pPr>
        <w:spacing w:line="312" w:lineRule="auto"/>
        <w:rPr>
          <w:szCs w:val="24"/>
        </w:rPr>
      </w:pP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7"/>
        <w:gridCol w:w="3532"/>
      </w:tblGrid>
      <w:tr w:rsidR="00617176" w:rsidRPr="0097346E" w:rsidTr="00B10A3A">
        <w:tc>
          <w:tcPr>
            <w:tcW w:w="5000" w:type="pct"/>
            <w:gridSpan w:val="2"/>
            <w:shd w:val="clear" w:color="auto" w:fill="B8CCE4"/>
          </w:tcPr>
          <w:p w:rsidR="00617176" w:rsidRPr="0097346E" w:rsidRDefault="00617176" w:rsidP="005D120B">
            <w:pPr>
              <w:spacing w:before="60" w:line="276" w:lineRule="auto"/>
              <w:ind w:left="426"/>
              <w:jc w:val="both"/>
              <w:rPr>
                <w:szCs w:val="24"/>
                <w:lang w:eastAsia="pl-PL"/>
              </w:rPr>
            </w:pPr>
          </w:p>
          <w:p w:rsidR="00617176" w:rsidRPr="0097346E" w:rsidRDefault="00617176" w:rsidP="005D120B">
            <w:pPr>
              <w:spacing w:before="60" w:line="276" w:lineRule="auto"/>
              <w:jc w:val="both"/>
              <w:rPr>
                <w:szCs w:val="24"/>
                <w:lang w:eastAsia="pl-PL"/>
              </w:rPr>
            </w:pPr>
            <w:r>
              <w:rPr>
                <w:szCs w:val="24"/>
                <w:lang w:eastAsia="pl-PL"/>
              </w:rPr>
              <w:t>Zadanie 5. Działalność Brokerów Innowacji</w:t>
            </w:r>
          </w:p>
          <w:p w:rsidR="00617176" w:rsidRPr="0097346E" w:rsidRDefault="00617176" w:rsidP="005D120B">
            <w:pPr>
              <w:spacing w:before="60" w:line="276" w:lineRule="auto"/>
              <w:ind w:left="426"/>
              <w:jc w:val="both"/>
              <w:rPr>
                <w:szCs w:val="24"/>
                <w:lang w:eastAsia="pl-PL"/>
              </w:rPr>
            </w:pPr>
          </w:p>
        </w:tc>
      </w:tr>
      <w:tr w:rsidR="00106287" w:rsidRPr="00A44C51" w:rsidTr="00B10A3A">
        <w:tc>
          <w:tcPr>
            <w:tcW w:w="3046" w:type="pct"/>
            <w:shd w:val="clear" w:color="auto" w:fill="B8CCE4"/>
            <w:vAlign w:val="center"/>
          </w:tcPr>
          <w:p w:rsidR="00106287" w:rsidRPr="00A44C51" w:rsidRDefault="00106287" w:rsidP="00812609">
            <w:pPr>
              <w:spacing w:before="60" w:line="276" w:lineRule="auto"/>
              <w:jc w:val="center"/>
              <w:rPr>
                <w:szCs w:val="24"/>
                <w:lang w:eastAsia="pl-PL"/>
              </w:rPr>
            </w:pPr>
            <w:r w:rsidRPr="00A44C51">
              <w:rPr>
                <w:szCs w:val="24"/>
                <w:lang w:eastAsia="pl-PL"/>
              </w:rPr>
              <w:t>Planowane działania służące realizacji tego zadania</w:t>
            </w:r>
          </w:p>
        </w:tc>
        <w:tc>
          <w:tcPr>
            <w:tcW w:w="1954" w:type="pct"/>
            <w:shd w:val="clear" w:color="auto" w:fill="B8CCE4"/>
            <w:vAlign w:val="center"/>
          </w:tcPr>
          <w:p w:rsidR="00106287" w:rsidRPr="00A44C51" w:rsidRDefault="00106287" w:rsidP="00812609">
            <w:pPr>
              <w:spacing w:before="60" w:line="276" w:lineRule="auto"/>
              <w:jc w:val="center"/>
              <w:rPr>
                <w:szCs w:val="24"/>
                <w:lang w:eastAsia="pl-PL"/>
              </w:rPr>
            </w:pPr>
            <w:r w:rsidRPr="00A44C51">
              <w:rPr>
                <w:szCs w:val="24"/>
                <w:lang w:eastAsia="pl-PL"/>
              </w:rPr>
              <w:t>Planowany termin realizacji działań</w:t>
            </w:r>
          </w:p>
        </w:tc>
      </w:tr>
      <w:tr w:rsidR="00106287" w:rsidRPr="00A44C51" w:rsidTr="00B10A3A">
        <w:trPr>
          <w:trHeight w:val="843"/>
        </w:trPr>
        <w:tc>
          <w:tcPr>
            <w:tcW w:w="3046" w:type="pct"/>
          </w:tcPr>
          <w:p w:rsidR="00106287" w:rsidRDefault="00106287" w:rsidP="0035227E">
            <w:pPr>
              <w:jc w:val="both"/>
            </w:pPr>
            <w:r>
              <w:t>D</w:t>
            </w:r>
            <w:r w:rsidRPr="00B87961">
              <w:t xml:space="preserve">o projektu zostaną zaangażowani wszyscy </w:t>
            </w:r>
            <w:r>
              <w:t>pracownicy CTT CITTRU oraz Działu Transferu Wiedzy i Projektów Międzynarodowych UEK</w:t>
            </w:r>
            <w:r w:rsidRPr="00B87961">
              <w:t xml:space="preserve"> </w:t>
            </w:r>
            <w:r>
              <w:t>odpowiedzialni za obszar współpracy nauki z biznesem.</w:t>
            </w:r>
          </w:p>
          <w:p w:rsidR="00106287" w:rsidRDefault="00106287" w:rsidP="0035227E">
            <w:pPr>
              <w:jc w:val="both"/>
              <w:rPr>
                <w:szCs w:val="24"/>
              </w:rPr>
            </w:pPr>
            <w:r w:rsidRPr="00B87961">
              <w:rPr>
                <w:szCs w:val="24"/>
              </w:rPr>
              <w:t xml:space="preserve">Działania brokerów innowacji </w:t>
            </w:r>
            <w:r>
              <w:rPr>
                <w:szCs w:val="24"/>
              </w:rPr>
              <w:t xml:space="preserve">UJ i </w:t>
            </w:r>
            <w:r w:rsidRPr="00B87961">
              <w:rPr>
                <w:szCs w:val="24"/>
              </w:rPr>
              <w:t xml:space="preserve">UEK, które realizowane będą w ramach projektu, zostały szczegółowo opisane w zadaniach 1- 4 powyżej, </w:t>
            </w:r>
            <w:r w:rsidRPr="00B87961">
              <w:t xml:space="preserve">przy czym w szczególności będą to: </w:t>
            </w:r>
            <w:r w:rsidRPr="00B87961">
              <w:rPr>
                <w:szCs w:val="24"/>
              </w:rPr>
              <w:t xml:space="preserve">identyfikacja innowacyjnych projektów o potencjale komercjalizacyjnym, ocena potencjału rynkowego tych projektów oraz określenie optymalnej formy ochrony prawnej wyników badań, przygotowanie ofert technologicznych, budowanie sieci kontaktów </w:t>
            </w:r>
            <w:r>
              <w:rPr>
                <w:szCs w:val="24"/>
              </w:rPr>
              <w:t xml:space="preserve">                        </w:t>
            </w:r>
            <w:r w:rsidRPr="00B87961">
              <w:rPr>
                <w:szCs w:val="24"/>
              </w:rPr>
              <w:t xml:space="preserve">z biznesem, promowanie oferty </w:t>
            </w:r>
            <w:r>
              <w:rPr>
                <w:szCs w:val="24"/>
              </w:rPr>
              <w:t>UEK</w:t>
            </w:r>
            <w:r w:rsidRPr="00B87961">
              <w:rPr>
                <w:szCs w:val="24"/>
              </w:rPr>
              <w:t xml:space="preserve"> podczas indywidualnych spotkań z odbiorcami technologii, targów, konferencji biznesowych, dobór optymalnego sposobu komercjalizacji, negocjowanie umów komercjalizacji.</w:t>
            </w:r>
          </w:p>
          <w:p w:rsidR="00106287" w:rsidRDefault="00106287" w:rsidP="009E337E">
            <w:pPr>
              <w:jc w:val="both"/>
              <w:rPr>
                <w:szCs w:val="24"/>
              </w:rPr>
            </w:pPr>
            <w:r>
              <w:rPr>
                <w:szCs w:val="24"/>
              </w:rPr>
              <w:t xml:space="preserve">Ponadto w ramach realizacji projektu przez CTT CITTRU planowane jest sfinansowanie działalności dwóch brokerów innowacji dedykowanych wydziałom UJ realizującym znaczącą liczbę projektów o wysokim potencjale wdrożeniowym – Wydziałowi Chemii UJ, wydziałom Collegium </w:t>
            </w:r>
            <w:proofErr w:type="spellStart"/>
            <w:r>
              <w:rPr>
                <w:szCs w:val="24"/>
              </w:rPr>
              <w:t>Medicum</w:t>
            </w:r>
            <w:proofErr w:type="spellEnd"/>
            <w:r>
              <w:rPr>
                <w:szCs w:val="24"/>
              </w:rPr>
              <w:t xml:space="preserve"> UJ (pół etatu) oraz asystenta kierownika projektu zajmującego się m.in. bieżącym wsparciem działań brokerów innowacji i zespołów badawczych realizujących badania przedwdrożeniowe. Pokrycie kosztów działalności ww. brokerów innowacji umożliwi utrzymanie wysokiej intensywności procesów związanych z rozwojem i komercjalizacją projektów o wysokim potencjale aplikacyjnym realizowanych na Wydziale Chemii UJ i w UJ CM. </w:t>
            </w:r>
          </w:p>
          <w:p w:rsidR="00106287" w:rsidRDefault="00106287" w:rsidP="00BC5ABF">
            <w:pPr>
              <w:jc w:val="both"/>
            </w:pPr>
            <w:r>
              <w:rPr>
                <w:szCs w:val="24"/>
              </w:rPr>
              <w:t xml:space="preserve">W ramach projektu przewiduje się także sfinansowanie procesu oceny i rozwoju kompetencji pracowników CTT CITTRU, w tym brokerów innowacji, pod kątem zwiększenia ich efektywności (tzw. Development Center - DC). Jest to obecnie </w:t>
            </w:r>
            <w:r>
              <w:t xml:space="preserve">najbardziej efektywna metoda diagnozy potencjału i kompetencji zawodowych pracowników, służąca do optymalnego planowania ich rozwoju. Oparta jest na wielostronnej i szczegółowej ocenie umiejętności pracowników w różnorodnych zadaniach, dokonywanej przez kilku wyspecjalizowanych asesorów. Dzięki tzw. sesjom </w:t>
            </w:r>
            <w:proofErr w:type="spellStart"/>
            <w:r>
              <w:t>feedbackowym</w:t>
            </w:r>
            <w:proofErr w:type="spellEnd"/>
            <w:r>
              <w:t xml:space="preserve"> oraz szczegółowemu, indywidualnemu raportowi każdy uczestnik procesu jest w stanie dogłębnie zrozumieć swoje zachowania, silne i słabe strony w kontekście odbioru społecznego i wymagań organizacji. Każdy uczestnik otrzymuje dzięki temu specjalistyczne narzędzie do długofalowego planowania rozwoju pracowników. W ramach DC opracowana zostanie mapa kompetencji pracowników CTT CITTRU oraz zaplanowane zostaną szkolenia mające na celu optymalne podniesienie ich kompetencji pod kątem realizacji zadań postawionych CTT CITTRU.</w:t>
            </w:r>
          </w:p>
          <w:p w:rsidR="00106287" w:rsidRPr="00B87961" w:rsidRDefault="00106287" w:rsidP="00681A0F">
            <w:pPr>
              <w:jc w:val="both"/>
              <w:rPr>
                <w:szCs w:val="24"/>
              </w:rPr>
            </w:pPr>
            <w:r>
              <w:t>DC to kolejny etap planowanej i rozpoczętej reorganizacji CTT. Po 16 latach działalności, w obliczu rosnącej liczby projektów wynalazczych będących w portfolio UJ, pojawiła się potrzeba przeprowadzenia zmian w podziale zadań i działań realizowanych w procesie komercjalizacji. Pierwszym krokiem stało się wydzielenie zespołu ds. patentowych (zespół właśnie się kształtuje). Kolejnym będzie podzielenie zespołu brokerskiego na pracowników, którzy będąc bliżej naukowców będą wspólnie z nimi decydować o rozwoju projektów wynalazczych (odpowiednik Business Development Manager) oraz pracowników będących bliżej firm i rynku (sprzedawców). Zdaniem DC jest świadome podzielenie istniejącego zespołu zgodnie z posiadanymi kompetencjami i naturalnymi predyspozycjami.</w:t>
            </w:r>
          </w:p>
        </w:tc>
        <w:tc>
          <w:tcPr>
            <w:tcW w:w="1954" w:type="pct"/>
          </w:tcPr>
          <w:p w:rsidR="00106287" w:rsidRPr="00A44C51" w:rsidRDefault="00106287" w:rsidP="0035227E">
            <w:pPr>
              <w:spacing w:before="60"/>
              <w:jc w:val="center"/>
              <w:rPr>
                <w:szCs w:val="24"/>
                <w:lang w:eastAsia="pl-PL"/>
              </w:rPr>
            </w:pPr>
            <w:r>
              <w:rPr>
                <w:szCs w:val="24"/>
                <w:lang w:eastAsia="pl-PL"/>
              </w:rPr>
              <w:t>Cały okres realizacji projektu</w:t>
            </w:r>
          </w:p>
        </w:tc>
      </w:tr>
    </w:tbl>
    <w:p w:rsidR="00617176" w:rsidRDefault="00617176" w:rsidP="00B25E24">
      <w:pPr>
        <w:spacing w:line="312" w:lineRule="auto"/>
        <w:jc w:val="both"/>
        <w:rPr>
          <w:szCs w:val="24"/>
        </w:rPr>
      </w:pPr>
    </w:p>
    <w:p w:rsidR="00617176" w:rsidRPr="006064EE" w:rsidRDefault="00617176" w:rsidP="00B25E24">
      <w:pPr>
        <w:spacing w:line="312" w:lineRule="auto"/>
        <w:jc w:val="both"/>
        <w:rPr>
          <w:szCs w:val="24"/>
          <w:lang w:eastAsia="pl-P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0"/>
        <w:gridCol w:w="5638"/>
      </w:tblGrid>
      <w:tr w:rsidR="00617176" w:rsidRPr="00493A0B" w:rsidTr="00F21FA5">
        <w:tc>
          <w:tcPr>
            <w:tcW w:w="4960" w:type="dxa"/>
            <w:shd w:val="clear" w:color="auto" w:fill="B8CCE4"/>
            <w:vAlign w:val="center"/>
          </w:tcPr>
          <w:p w:rsidR="00617176" w:rsidRPr="00493A0B" w:rsidRDefault="00617176" w:rsidP="005D120B">
            <w:pPr>
              <w:spacing w:line="312" w:lineRule="auto"/>
              <w:jc w:val="center"/>
              <w:rPr>
                <w:szCs w:val="24"/>
              </w:rPr>
            </w:pPr>
          </w:p>
          <w:p w:rsidR="00617176" w:rsidRPr="00493A0B" w:rsidRDefault="00617176" w:rsidP="005D120B">
            <w:pPr>
              <w:spacing w:line="312" w:lineRule="auto"/>
              <w:jc w:val="center"/>
              <w:rPr>
                <w:szCs w:val="24"/>
                <w:lang w:eastAsia="pl-PL"/>
              </w:rPr>
            </w:pPr>
            <w:r w:rsidRPr="00106287">
              <w:rPr>
                <w:b/>
                <w:szCs w:val="24"/>
              </w:rPr>
              <w:t>Wskaźn</w:t>
            </w:r>
            <w:r w:rsidRPr="00106287">
              <w:rPr>
                <w:b/>
                <w:szCs w:val="24"/>
                <w:lang w:eastAsia="pl-PL"/>
              </w:rPr>
              <w:t>iki obligatoryjne</w:t>
            </w:r>
            <w:r w:rsidRPr="00E3473F">
              <w:rPr>
                <w:szCs w:val="24"/>
                <w:lang w:eastAsia="pl-PL"/>
              </w:rPr>
              <w:t>, które podmiot jest zobowiązany osiągnąć w celu prawidłowej realizacji umowy</w:t>
            </w:r>
          </w:p>
          <w:p w:rsidR="00617176" w:rsidRPr="00493A0B" w:rsidRDefault="00617176" w:rsidP="005D120B">
            <w:pPr>
              <w:spacing w:line="312" w:lineRule="auto"/>
              <w:jc w:val="center"/>
              <w:rPr>
                <w:szCs w:val="24"/>
              </w:rPr>
            </w:pPr>
          </w:p>
        </w:tc>
        <w:tc>
          <w:tcPr>
            <w:tcW w:w="5638" w:type="dxa"/>
            <w:shd w:val="clear" w:color="auto" w:fill="B8CCE4"/>
            <w:vAlign w:val="center"/>
          </w:tcPr>
          <w:p w:rsidR="00617176" w:rsidRPr="00493A0B" w:rsidRDefault="00617176" w:rsidP="005D120B">
            <w:pPr>
              <w:spacing w:line="312" w:lineRule="auto"/>
              <w:jc w:val="center"/>
              <w:rPr>
                <w:szCs w:val="24"/>
              </w:rPr>
            </w:pPr>
            <w:r w:rsidRPr="00493A0B">
              <w:rPr>
                <w:szCs w:val="24"/>
              </w:rPr>
              <w:t xml:space="preserve">Wartość wskaźnika planowana do osiągnięcia </w:t>
            </w:r>
            <w:r w:rsidRPr="00493A0B">
              <w:rPr>
                <w:szCs w:val="24"/>
              </w:rPr>
              <w:br/>
              <w:t>w ramach realizacji projektu</w:t>
            </w:r>
          </w:p>
        </w:tc>
      </w:tr>
      <w:tr w:rsidR="00617176" w:rsidRPr="00493A0B" w:rsidTr="00F21FA5">
        <w:tc>
          <w:tcPr>
            <w:tcW w:w="4960" w:type="dxa"/>
            <w:vAlign w:val="center"/>
          </w:tcPr>
          <w:p w:rsidR="00617176" w:rsidRPr="00493A0B" w:rsidRDefault="00617176" w:rsidP="005D120B">
            <w:pPr>
              <w:spacing w:line="312" w:lineRule="auto"/>
              <w:rPr>
                <w:szCs w:val="24"/>
                <w:lang w:eastAsia="pl-PL"/>
              </w:rPr>
            </w:pPr>
            <w:r w:rsidRPr="00493A0B">
              <w:rPr>
                <w:szCs w:val="24"/>
                <w:lang w:eastAsia="pl-PL"/>
              </w:rPr>
              <w:t>Liczba realizowanych prac B+R</w:t>
            </w:r>
          </w:p>
        </w:tc>
        <w:tc>
          <w:tcPr>
            <w:tcW w:w="5638" w:type="dxa"/>
            <w:vAlign w:val="center"/>
          </w:tcPr>
          <w:p w:rsidR="00617176" w:rsidRPr="00B87961" w:rsidRDefault="0016015B" w:rsidP="007966C6">
            <w:pPr>
              <w:jc w:val="center"/>
              <w:rPr>
                <w:szCs w:val="24"/>
              </w:rPr>
            </w:pPr>
            <w:r>
              <w:rPr>
                <w:szCs w:val="24"/>
              </w:rPr>
              <w:t xml:space="preserve">6 UJ, </w:t>
            </w:r>
            <w:r w:rsidR="00617176">
              <w:rPr>
                <w:szCs w:val="24"/>
              </w:rPr>
              <w:t>2</w:t>
            </w:r>
            <w:r w:rsidR="00617176" w:rsidRPr="00B87961">
              <w:rPr>
                <w:szCs w:val="24"/>
              </w:rPr>
              <w:t xml:space="preserve"> UEK</w:t>
            </w:r>
          </w:p>
        </w:tc>
      </w:tr>
      <w:tr w:rsidR="00617176" w:rsidRPr="00493A0B" w:rsidTr="00F21FA5">
        <w:tc>
          <w:tcPr>
            <w:tcW w:w="4960" w:type="dxa"/>
          </w:tcPr>
          <w:p w:rsidR="00617176" w:rsidRPr="00493A0B" w:rsidRDefault="00617176" w:rsidP="005D120B">
            <w:pPr>
              <w:spacing w:line="312" w:lineRule="auto"/>
              <w:rPr>
                <w:szCs w:val="24"/>
              </w:rPr>
            </w:pPr>
            <w:r w:rsidRPr="00493A0B">
              <w:rPr>
                <w:szCs w:val="24"/>
              </w:rPr>
              <w:t>Liczba realizowanych prac  B+R w zakresie środowiskowym lub ekologicznym</w:t>
            </w:r>
          </w:p>
        </w:tc>
        <w:tc>
          <w:tcPr>
            <w:tcW w:w="5638" w:type="dxa"/>
            <w:vAlign w:val="center"/>
          </w:tcPr>
          <w:p w:rsidR="00617176" w:rsidRPr="00B87961" w:rsidRDefault="0016015B" w:rsidP="007966C6">
            <w:pPr>
              <w:jc w:val="center"/>
              <w:rPr>
                <w:szCs w:val="24"/>
              </w:rPr>
            </w:pPr>
            <w:r>
              <w:rPr>
                <w:szCs w:val="24"/>
              </w:rPr>
              <w:t xml:space="preserve">1 UJ, </w:t>
            </w:r>
            <w:r w:rsidR="00617176">
              <w:rPr>
                <w:szCs w:val="24"/>
              </w:rPr>
              <w:t>0</w:t>
            </w:r>
            <w:r w:rsidR="00617176" w:rsidRPr="00B87961">
              <w:rPr>
                <w:szCs w:val="24"/>
              </w:rPr>
              <w:t xml:space="preserve"> UEK</w:t>
            </w:r>
          </w:p>
        </w:tc>
      </w:tr>
      <w:tr w:rsidR="00617176" w:rsidRPr="00493A0B" w:rsidTr="00F21FA5">
        <w:tc>
          <w:tcPr>
            <w:tcW w:w="4960" w:type="dxa"/>
          </w:tcPr>
          <w:p w:rsidR="00617176" w:rsidRPr="00493A0B" w:rsidRDefault="00617176" w:rsidP="005D120B">
            <w:pPr>
              <w:spacing w:line="312" w:lineRule="auto"/>
              <w:rPr>
                <w:szCs w:val="24"/>
              </w:rPr>
            </w:pPr>
            <w:r w:rsidRPr="00493A0B">
              <w:rPr>
                <w:szCs w:val="24"/>
                <w:lang w:eastAsia="pl-PL"/>
              </w:rPr>
              <w:t>Liczba osób objętych wsparciem w zakresie rozwoju kadr B+R (O/K/M)</w:t>
            </w:r>
          </w:p>
        </w:tc>
        <w:tc>
          <w:tcPr>
            <w:tcW w:w="5638" w:type="dxa"/>
            <w:vAlign w:val="center"/>
          </w:tcPr>
          <w:p w:rsidR="00617176" w:rsidRPr="00B87961" w:rsidRDefault="0016015B" w:rsidP="007966C6">
            <w:pPr>
              <w:jc w:val="center"/>
              <w:rPr>
                <w:szCs w:val="24"/>
              </w:rPr>
            </w:pPr>
            <w:r>
              <w:rPr>
                <w:szCs w:val="24"/>
              </w:rPr>
              <w:t xml:space="preserve">30 (15 K/15 M) UJ, </w:t>
            </w:r>
            <w:r w:rsidR="00617176">
              <w:rPr>
                <w:szCs w:val="24"/>
              </w:rPr>
              <w:t>3</w:t>
            </w:r>
            <w:r w:rsidR="00617176" w:rsidRPr="00B87961">
              <w:rPr>
                <w:szCs w:val="24"/>
              </w:rPr>
              <w:t>0 (</w:t>
            </w:r>
            <w:r w:rsidR="00617176">
              <w:rPr>
                <w:szCs w:val="24"/>
              </w:rPr>
              <w:t>12</w:t>
            </w:r>
            <w:r w:rsidR="00617176" w:rsidRPr="00B87961">
              <w:rPr>
                <w:szCs w:val="24"/>
              </w:rPr>
              <w:t>K/</w:t>
            </w:r>
            <w:r w:rsidR="00617176">
              <w:rPr>
                <w:szCs w:val="24"/>
              </w:rPr>
              <w:t>18</w:t>
            </w:r>
            <w:r w:rsidR="00617176" w:rsidRPr="00B87961">
              <w:rPr>
                <w:szCs w:val="24"/>
              </w:rPr>
              <w:t>M) UEK</w:t>
            </w:r>
          </w:p>
        </w:tc>
      </w:tr>
      <w:tr w:rsidR="00617176" w:rsidRPr="00493A0B" w:rsidTr="00F21FA5">
        <w:tc>
          <w:tcPr>
            <w:tcW w:w="4960" w:type="dxa"/>
          </w:tcPr>
          <w:p w:rsidR="00617176" w:rsidRPr="00493A0B" w:rsidRDefault="00617176" w:rsidP="005D120B">
            <w:pPr>
              <w:spacing w:line="312" w:lineRule="auto"/>
              <w:rPr>
                <w:szCs w:val="24"/>
              </w:rPr>
            </w:pPr>
            <w:r w:rsidRPr="00493A0B">
              <w:rPr>
                <w:szCs w:val="24"/>
                <w:lang w:eastAsia="pl-PL"/>
              </w:rPr>
              <w:t>Liczba dokonanych zgłoszeń patentowych</w:t>
            </w:r>
          </w:p>
        </w:tc>
        <w:tc>
          <w:tcPr>
            <w:tcW w:w="5638" w:type="dxa"/>
            <w:vAlign w:val="center"/>
          </w:tcPr>
          <w:p w:rsidR="00617176" w:rsidRPr="00B87961" w:rsidRDefault="0016015B" w:rsidP="00D828CA">
            <w:pPr>
              <w:jc w:val="center"/>
              <w:rPr>
                <w:szCs w:val="24"/>
              </w:rPr>
            </w:pPr>
            <w:r>
              <w:rPr>
                <w:szCs w:val="24"/>
              </w:rPr>
              <w:t>4</w:t>
            </w:r>
            <w:r w:rsidR="00D828CA">
              <w:rPr>
                <w:szCs w:val="24"/>
              </w:rPr>
              <w:t>0</w:t>
            </w:r>
          </w:p>
        </w:tc>
      </w:tr>
      <w:tr w:rsidR="00617176" w:rsidRPr="00493A0B" w:rsidTr="00F21FA5">
        <w:tc>
          <w:tcPr>
            <w:tcW w:w="4960" w:type="dxa"/>
          </w:tcPr>
          <w:p w:rsidR="00617176" w:rsidRPr="00493A0B" w:rsidRDefault="00617176" w:rsidP="005D120B">
            <w:pPr>
              <w:spacing w:line="312" w:lineRule="auto"/>
              <w:rPr>
                <w:szCs w:val="24"/>
              </w:rPr>
            </w:pPr>
            <w:r w:rsidRPr="00493A0B">
              <w:rPr>
                <w:szCs w:val="24"/>
              </w:rPr>
              <w:t xml:space="preserve">Liczba dokonanych zgłoszeń patentowych </w:t>
            </w:r>
            <w:r w:rsidRPr="00493A0B">
              <w:rPr>
                <w:szCs w:val="24"/>
              </w:rPr>
              <w:br/>
              <w:t xml:space="preserve">w zakresie </w:t>
            </w:r>
            <w:proofErr w:type="spellStart"/>
            <w:r w:rsidRPr="00493A0B">
              <w:rPr>
                <w:szCs w:val="24"/>
              </w:rPr>
              <w:t>ekoinnowacji</w:t>
            </w:r>
            <w:proofErr w:type="spellEnd"/>
            <w:r w:rsidRPr="00493A0B">
              <w:rPr>
                <w:szCs w:val="24"/>
              </w:rPr>
              <w:t>, mających pozytywny wpływ na środowisko</w:t>
            </w:r>
          </w:p>
        </w:tc>
        <w:tc>
          <w:tcPr>
            <w:tcW w:w="5638" w:type="dxa"/>
            <w:vAlign w:val="center"/>
          </w:tcPr>
          <w:p w:rsidR="00617176" w:rsidRPr="00B87961" w:rsidRDefault="0016015B" w:rsidP="007966C6">
            <w:pPr>
              <w:jc w:val="center"/>
              <w:rPr>
                <w:szCs w:val="24"/>
              </w:rPr>
            </w:pPr>
            <w:r>
              <w:rPr>
                <w:szCs w:val="24"/>
              </w:rPr>
              <w:t>7</w:t>
            </w:r>
          </w:p>
        </w:tc>
      </w:tr>
      <w:tr w:rsidR="00617176" w:rsidRPr="00493A0B" w:rsidTr="00F21FA5">
        <w:tc>
          <w:tcPr>
            <w:tcW w:w="4960" w:type="dxa"/>
          </w:tcPr>
          <w:p w:rsidR="00617176" w:rsidRPr="00493A0B" w:rsidRDefault="00617176" w:rsidP="005D120B">
            <w:pPr>
              <w:spacing w:line="312" w:lineRule="auto"/>
              <w:rPr>
                <w:szCs w:val="24"/>
              </w:rPr>
            </w:pPr>
            <w:r w:rsidRPr="00493A0B">
              <w:rPr>
                <w:szCs w:val="24"/>
              </w:rPr>
              <w:t xml:space="preserve">Liczba </w:t>
            </w:r>
            <w:r>
              <w:rPr>
                <w:szCs w:val="24"/>
              </w:rPr>
              <w:t>nawiązanych form współpracy pomiędzy środowiskiem naukowym i otoczeniem gospodarczym (umowy licencyjne, sprzedaży, dzierżawy, świadczenia usług badawczych)</w:t>
            </w:r>
          </w:p>
        </w:tc>
        <w:tc>
          <w:tcPr>
            <w:tcW w:w="5638" w:type="dxa"/>
            <w:vAlign w:val="center"/>
          </w:tcPr>
          <w:p w:rsidR="00617176" w:rsidRPr="00B87961" w:rsidRDefault="00D828CA" w:rsidP="007966C6">
            <w:pPr>
              <w:jc w:val="center"/>
              <w:rPr>
                <w:szCs w:val="24"/>
              </w:rPr>
            </w:pPr>
            <w:r>
              <w:rPr>
                <w:szCs w:val="24"/>
              </w:rPr>
              <w:t>80</w:t>
            </w:r>
          </w:p>
        </w:tc>
      </w:tr>
      <w:tr w:rsidR="00617176" w:rsidRPr="00493A0B" w:rsidTr="00F21FA5">
        <w:tc>
          <w:tcPr>
            <w:tcW w:w="4960" w:type="dxa"/>
          </w:tcPr>
          <w:p w:rsidR="00617176" w:rsidRPr="00493A0B" w:rsidRDefault="00617176" w:rsidP="003F3ECF">
            <w:pPr>
              <w:spacing w:line="312" w:lineRule="auto"/>
              <w:rPr>
                <w:szCs w:val="24"/>
              </w:rPr>
            </w:pPr>
            <w:r w:rsidRPr="00493A0B">
              <w:rPr>
                <w:szCs w:val="24"/>
              </w:rPr>
              <w:t xml:space="preserve">Liczba </w:t>
            </w:r>
            <w:r>
              <w:rPr>
                <w:szCs w:val="24"/>
              </w:rPr>
              <w:t xml:space="preserve">utworzonych spółek </w:t>
            </w:r>
            <w:proofErr w:type="spellStart"/>
            <w:r>
              <w:rPr>
                <w:szCs w:val="24"/>
              </w:rPr>
              <w:t>spin</w:t>
            </w:r>
            <w:proofErr w:type="spellEnd"/>
            <w:r>
              <w:rPr>
                <w:szCs w:val="24"/>
              </w:rPr>
              <w:t xml:space="preserve"> off</w:t>
            </w:r>
          </w:p>
        </w:tc>
        <w:tc>
          <w:tcPr>
            <w:tcW w:w="5638" w:type="dxa"/>
            <w:vAlign w:val="center"/>
          </w:tcPr>
          <w:p w:rsidR="00617176" w:rsidRPr="00B87961" w:rsidRDefault="00D828CA" w:rsidP="007966C6">
            <w:pPr>
              <w:jc w:val="center"/>
              <w:rPr>
                <w:szCs w:val="24"/>
              </w:rPr>
            </w:pPr>
            <w:r>
              <w:rPr>
                <w:szCs w:val="24"/>
              </w:rPr>
              <w:t>1</w:t>
            </w:r>
          </w:p>
        </w:tc>
      </w:tr>
    </w:tbl>
    <w:p w:rsidR="00617176" w:rsidRDefault="00617176" w:rsidP="00B25E24">
      <w:pPr>
        <w:spacing w:line="312" w:lineRule="auto"/>
        <w:rPr>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0"/>
        <w:gridCol w:w="5638"/>
      </w:tblGrid>
      <w:tr w:rsidR="00617176" w:rsidRPr="00493A0B" w:rsidTr="00F21FA5">
        <w:tc>
          <w:tcPr>
            <w:tcW w:w="4960" w:type="dxa"/>
            <w:shd w:val="clear" w:color="auto" w:fill="B8CCE4"/>
            <w:vAlign w:val="center"/>
          </w:tcPr>
          <w:p w:rsidR="00617176" w:rsidRPr="00493A0B" w:rsidRDefault="00617176" w:rsidP="00C86BBD">
            <w:pPr>
              <w:spacing w:line="312" w:lineRule="auto"/>
              <w:jc w:val="center"/>
              <w:rPr>
                <w:szCs w:val="24"/>
                <w:lang w:eastAsia="pl-PL"/>
              </w:rPr>
            </w:pPr>
          </w:p>
          <w:p w:rsidR="00617176" w:rsidRPr="00493A0B" w:rsidRDefault="00106287" w:rsidP="00C86BBD">
            <w:pPr>
              <w:spacing w:line="312" w:lineRule="auto"/>
              <w:jc w:val="center"/>
              <w:rPr>
                <w:szCs w:val="24"/>
              </w:rPr>
            </w:pPr>
            <w:r w:rsidRPr="00106287">
              <w:rPr>
                <w:b/>
                <w:szCs w:val="24"/>
                <w:lang w:eastAsia="pl-PL"/>
              </w:rPr>
              <w:t>Wskaźniki dodatkowe</w:t>
            </w:r>
            <w:r w:rsidRPr="00106287">
              <w:rPr>
                <w:szCs w:val="24"/>
                <w:lang w:eastAsia="pl-PL"/>
              </w:rPr>
              <w:t xml:space="preserve"> wybrane przez Wnioskodawcę </w:t>
            </w:r>
          </w:p>
        </w:tc>
        <w:tc>
          <w:tcPr>
            <w:tcW w:w="5638" w:type="dxa"/>
            <w:shd w:val="clear" w:color="auto" w:fill="B8CCE4"/>
            <w:vAlign w:val="center"/>
          </w:tcPr>
          <w:p w:rsidR="00617176" w:rsidRPr="00493A0B" w:rsidRDefault="00617176" w:rsidP="00C86BBD">
            <w:pPr>
              <w:spacing w:line="312" w:lineRule="auto"/>
              <w:jc w:val="center"/>
              <w:rPr>
                <w:szCs w:val="24"/>
              </w:rPr>
            </w:pPr>
          </w:p>
          <w:p w:rsidR="00617176" w:rsidRPr="00493A0B" w:rsidRDefault="00617176" w:rsidP="00C86BBD">
            <w:pPr>
              <w:spacing w:line="312" w:lineRule="auto"/>
              <w:jc w:val="center"/>
              <w:rPr>
                <w:szCs w:val="24"/>
              </w:rPr>
            </w:pPr>
            <w:r w:rsidRPr="00493A0B">
              <w:rPr>
                <w:szCs w:val="24"/>
              </w:rPr>
              <w:t xml:space="preserve">Wartość wskaźnika planowana do osiągnięcia </w:t>
            </w:r>
            <w:r w:rsidRPr="00493A0B">
              <w:rPr>
                <w:szCs w:val="24"/>
              </w:rPr>
              <w:br/>
              <w:t>w ramach realizacji projektu</w:t>
            </w:r>
          </w:p>
        </w:tc>
      </w:tr>
      <w:tr w:rsidR="00617176" w:rsidRPr="00B87961" w:rsidTr="00F21FA5">
        <w:tc>
          <w:tcPr>
            <w:tcW w:w="4960" w:type="dxa"/>
            <w:vAlign w:val="center"/>
          </w:tcPr>
          <w:p w:rsidR="00617176" w:rsidRPr="00B87961" w:rsidRDefault="00617176" w:rsidP="00C86BBD">
            <w:pPr>
              <w:spacing w:line="312" w:lineRule="auto"/>
              <w:jc w:val="center"/>
              <w:rPr>
                <w:szCs w:val="24"/>
                <w:lang w:eastAsia="pl-PL"/>
              </w:rPr>
            </w:pPr>
            <w:r w:rsidRPr="00B87961">
              <w:rPr>
                <w:szCs w:val="24"/>
                <w:lang w:eastAsia="pl-PL"/>
              </w:rPr>
              <w:t>Nowe narzędzia promocyjne dla wynalazków</w:t>
            </w:r>
            <w:r w:rsidR="001F1C80">
              <w:rPr>
                <w:szCs w:val="24"/>
                <w:lang w:eastAsia="pl-PL"/>
              </w:rPr>
              <w:t xml:space="preserve"> i usług badawczych</w:t>
            </w:r>
            <w:r w:rsidRPr="00B87961">
              <w:rPr>
                <w:szCs w:val="24"/>
                <w:lang w:eastAsia="pl-PL"/>
              </w:rPr>
              <w:t xml:space="preserve"> UJ i UEK (w tym ulotki, </w:t>
            </w:r>
            <w:proofErr w:type="spellStart"/>
            <w:r w:rsidRPr="00B87961">
              <w:rPr>
                <w:szCs w:val="24"/>
                <w:lang w:eastAsia="pl-PL"/>
              </w:rPr>
              <w:t>teasery</w:t>
            </w:r>
            <w:proofErr w:type="spellEnd"/>
            <w:r w:rsidRPr="00B87961">
              <w:rPr>
                <w:szCs w:val="24"/>
                <w:lang w:eastAsia="pl-PL"/>
              </w:rPr>
              <w:t xml:space="preserve">, prezentacje, materiały graficzne, </w:t>
            </w:r>
            <w:r w:rsidR="001F1C80">
              <w:rPr>
                <w:szCs w:val="24"/>
                <w:lang w:eastAsia="pl-PL"/>
              </w:rPr>
              <w:t xml:space="preserve">zdjęcia, </w:t>
            </w:r>
            <w:r w:rsidRPr="00B87961">
              <w:rPr>
                <w:szCs w:val="24"/>
                <w:lang w:eastAsia="pl-PL"/>
              </w:rPr>
              <w:t>filmy</w:t>
            </w:r>
            <w:r w:rsidR="001F1C80">
              <w:rPr>
                <w:szCs w:val="24"/>
                <w:lang w:eastAsia="pl-PL"/>
              </w:rPr>
              <w:t>, wpisy w mediach społecznościowych, publikacje, raporty branżowe</w:t>
            </w:r>
            <w:r w:rsidRPr="00B87961">
              <w:rPr>
                <w:szCs w:val="24"/>
                <w:lang w:eastAsia="pl-PL"/>
              </w:rPr>
              <w:t>)</w:t>
            </w:r>
          </w:p>
        </w:tc>
        <w:tc>
          <w:tcPr>
            <w:tcW w:w="5638" w:type="dxa"/>
            <w:vAlign w:val="center"/>
          </w:tcPr>
          <w:p w:rsidR="00617176" w:rsidRPr="00B87961" w:rsidRDefault="00D828CA" w:rsidP="00C86BBD">
            <w:pPr>
              <w:spacing w:line="312" w:lineRule="auto"/>
              <w:jc w:val="center"/>
              <w:rPr>
                <w:szCs w:val="24"/>
              </w:rPr>
            </w:pPr>
            <w:r>
              <w:rPr>
                <w:szCs w:val="24"/>
              </w:rPr>
              <w:t>4</w:t>
            </w:r>
            <w:r w:rsidR="00940EA9">
              <w:rPr>
                <w:szCs w:val="24"/>
              </w:rPr>
              <w:t>5 UJ, 5</w:t>
            </w:r>
            <w:r w:rsidR="00617176" w:rsidRPr="00B87961">
              <w:rPr>
                <w:szCs w:val="24"/>
              </w:rPr>
              <w:t xml:space="preserve"> UEK</w:t>
            </w:r>
          </w:p>
        </w:tc>
      </w:tr>
      <w:tr w:rsidR="00617176" w:rsidRPr="00B87961" w:rsidTr="00F21FA5">
        <w:tc>
          <w:tcPr>
            <w:tcW w:w="4960" w:type="dxa"/>
            <w:vAlign w:val="center"/>
          </w:tcPr>
          <w:p w:rsidR="00617176" w:rsidRPr="00B87961" w:rsidRDefault="00617176" w:rsidP="00C86BBD">
            <w:pPr>
              <w:spacing w:line="312" w:lineRule="auto"/>
              <w:jc w:val="center"/>
              <w:rPr>
                <w:szCs w:val="24"/>
                <w:lang w:eastAsia="pl-PL"/>
              </w:rPr>
            </w:pPr>
            <w:r w:rsidRPr="00B87961">
              <w:rPr>
                <w:szCs w:val="24"/>
                <w:lang w:eastAsia="pl-PL"/>
              </w:rPr>
              <w:t>Udział w targach branżowych, konferencjach biznesowych i wystawach innowacji</w:t>
            </w:r>
          </w:p>
        </w:tc>
        <w:tc>
          <w:tcPr>
            <w:tcW w:w="5638" w:type="dxa"/>
            <w:vAlign w:val="center"/>
          </w:tcPr>
          <w:p w:rsidR="00617176" w:rsidRPr="00B87961" w:rsidRDefault="00D828CA" w:rsidP="00C86BBD">
            <w:pPr>
              <w:spacing w:line="312" w:lineRule="auto"/>
              <w:jc w:val="center"/>
              <w:rPr>
                <w:szCs w:val="24"/>
              </w:rPr>
            </w:pPr>
            <w:r>
              <w:rPr>
                <w:szCs w:val="24"/>
              </w:rPr>
              <w:t>4</w:t>
            </w:r>
            <w:r w:rsidR="00940EA9">
              <w:rPr>
                <w:szCs w:val="24"/>
              </w:rPr>
              <w:t xml:space="preserve"> UJ, </w:t>
            </w:r>
            <w:r w:rsidR="00617176">
              <w:rPr>
                <w:szCs w:val="24"/>
              </w:rPr>
              <w:t>2</w:t>
            </w:r>
            <w:r w:rsidR="00617176" w:rsidRPr="00B87961">
              <w:rPr>
                <w:szCs w:val="24"/>
              </w:rPr>
              <w:t xml:space="preserve"> UEK</w:t>
            </w:r>
          </w:p>
        </w:tc>
      </w:tr>
      <w:tr w:rsidR="00617176" w:rsidRPr="00B87961" w:rsidTr="00F21FA5">
        <w:tc>
          <w:tcPr>
            <w:tcW w:w="4960" w:type="dxa"/>
            <w:vAlign w:val="center"/>
          </w:tcPr>
          <w:p w:rsidR="00617176" w:rsidRPr="00B87961" w:rsidRDefault="00617176" w:rsidP="00C86BBD">
            <w:pPr>
              <w:spacing w:line="312" w:lineRule="auto"/>
              <w:jc w:val="center"/>
              <w:rPr>
                <w:szCs w:val="24"/>
                <w:lang w:eastAsia="pl-PL"/>
              </w:rPr>
            </w:pPr>
            <w:r w:rsidRPr="00B87961">
              <w:rPr>
                <w:szCs w:val="24"/>
                <w:lang w:eastAsia="pl-PL"/>
              </w:rPr>
              <w:t>Spotkania indywidualne z zespołami badawczymi i/lub firmami</w:t>
            </w:r>
          </w:p>
        </w:tc>
        <w:tc>
          <w:tcPr>
            <w:tcW w:w="5638" w:type="dxa"/>
            <w:vAlign w:val="center"/>
          </w:tcPr>
          <w:p w:rsidR="00617176" w:rsidRPr="00B87961" w:rsidRDefault="00D828CA" w:rsidP="00C86BBD">
            <w:pPr>
              <w:spacing w:line="312" w:lineRule="auto"/>
              <w:jc w:val="center"/>
              <w:rPr>
                <w:szCs w:val="24"/>
              </w:rPr>
            </w:pPr>
            <w:r>
              <w:rPr>
                <w:szCs w:val="24"/>
              </w:rPr>
              <w:t>1</w:t>
            </w:r>
            <w:r w:rsidR="00940EA9">
              <w:rPr>
                <w:szCs w:val="24"/>
              </w:rPr>
              <w:t xml:space="preserve">90 UJ, </w:t>
            </w:r>
            <w:r w:rsidR="00617176">
              <w:rPr>
                <w:szCs w:val="24"/>
              </w:rPr>
              <w:t>10</w:t>
            </w:r>
            <w:r w:rsidR="00617176" w:rsidRPr="00B87961">
              <w:rPr>
                <w:szCs w:val="24"/>
              </w:rPr>
              <w:t xml:space="preserve"> UEK</w:t>
            </w:r>
          </w:p>
        </w:tc>
      </w:tr>
      <w:tr w:rsidR="00617176" w:rsidRPr="00B87961" w:rsidTr="00F21FA5">
        <w:tc>
          <w:tcPr>
            <w:tcW w:w="4960" w:type="dxa"/>
            <w:vAlign w:val="center"/>
          </w:tcPr>
          <w:p w:rsidR="00617176" w:rsidRPr="00B87961" w:rsidRDefault="00617176" w:rsidP="00C86BBD">
            <w:pPr>
              <w:spacing w:line="312" w:lineRule="auto"/>
              <w:jc w:val="center"/>
              <w:rPr>
                <w:szCs w:val="24"/>
                <w:lang w:eastAsia="pl-PL"/>
              </w:rPr>
            </w:pPr>
            <w:r w:rsidRPr="00B87961">
              <w:rPr>
                <w:szCs w:val="24"/>
                <w:lang w:eastAsia="pl-PL"/>
              </w:rPr>
              <w:t>Wspólne spotkania branżowe z firmami i naukowcami</w:t>
            </w:r>
            <w:r>
              <w:rPr>
                <w:szCs w:val="24"/>
                <w:lang w:eastAsia="pl-PL"/>
              </w:rPr>
              <w:t xml:space="preserve"> oraz wizyty studyjne</w:t>
            </w:r>
            <w:r w:rsidRPr="00B87961">
              <w:rPr>
                <w:szCs w:val="24"/>
                <w:lang w:eastAsia="pl-PL"/>
              </w:rPr>
              <w:t xml:space="preserve"> (wspólne prezentowanie ofert uczelni dla wybranych sektorów przemysłu)</w:t>
            </w:r>
          </w:p>
        </w:tc>
        <w:tc>
          <w:tcPr>
            <w:tcW w:w="5638" w:type="dxa"/>
            <w:vAlign w:val="center"/>
          </w:tcPr>
          <w:p w:rsidR="00617176" w:rsidRPr="00B87961" w:rsidRDefault="00802E1A" w:rsidP="00C86BBD">
            <w:pPr>
              <w:spacing w:line="312" w:lineRule="auto"/>
              <w:jc w:val="center"/>
              <w:rPr>
                <w:szCs w:val="24"/>
              </w:rPr>
            </w:pPr>
            <w:r>
              <w:rPr>
                <w:szCs w:val="24"/>
              </w:rPr>
              <w:t>3</w:t>
            </w:r>
            <w:r w:rsidR="00617176">
              <w:rPr>
                <w:szCs w:val="24"/>
              </w:rPr>
              <w:t xml:space="preserve"> </w:t>
            </w:r>
            <w:r>
              <w:rPr>
                <w:szCs w:val="24"/>
              </w:rPr>
              <w:t>UJ, 4</w:t>
            </w:r>
            <w:r w:rsidR="00940EA9">
              <w:rPr>
                <w:szCs w:val="24"/>
              </w:rPr>
              <w:t xml:space="preserve"> </w:t>
            </w:r>
            <w:r w:rsidR="00617176">
              <w:rPr>
                <w:szCs w:val="24"/>
              </w:rPr>
              <w:t>UEK</w:t>
            </w:r>
          </w:p>
        </w:tc>
      </w:tr>
      <w:tr w:rsidR="00617176" w:rsidRPr="00B87961" w:rsidTr="00F21FA5">
        <w:tc>
          <w:tcPr>
            <w:tcW w:w="4960" w:type="dxa"/>
            <w:vAlign w:val="center"/>
          </w:tcPr>
          <w:p w:rsidR="00617176" w:rsidRPr="00B87961" w:rsidRDefault="00F0314C" w:rsidP="00C86BBD">
            <w:pPr>
              <w:spacing w:line="312" w:lineRule="auto"/>
              <w:jc w:val="center"/>
              <w:rPr>
                <w:szCs w:val="24"/>
                <w:lang w:eastAsia="pl-PL"/>
              </w:rPr>
            </w:pPr>
            <w:r>
              <w:rPr>
                <w:szCs w:val="24"/>
                <w:lang w:eastAsia="pl-PL"/>
              </w:rPr>
              <w:t>Szkolenia wspierające przedsiębiorczość akademicką</w:t>
            </w:r>
            <w:r w:rsidR="00617176" w:rsidRPr="00B87961">
              <w:rPr>
                <w:szCs w:val="24"/>
                <w:lang w:eastAsia="pl-PL"/>
              </w:rPr>
              <w:t xml:space="preserve"> </w:t>
            </w:r>
          </w:p>
        </w:tc>
        <w:tc>
          <w:tcPr>
            <w:tcW w:w="5638" w:type="dxa"/>
            <w:vAlign w:val="center"/>
          </w:tcPr>
          <w:p w:rsidR="00617176" w:rsidRPr="009B1A4E" w:rsidRDefault="0056350B" w:rsidP="00C86BBD">
            <w:pPr>
              <w:spacing w:line="312" w:lineRule="auto"/>
              <w:jc w:val="center"/>
              <w:rPr>
                <w:szCs w:val="24"/>
              </w:rPr>
            </w:pPr>
            <w:r>
              <w:rPr>
                <w:szCs w:val="24"/>
              </w:rPr>
              <w:t>5</w:t>
            </w:r>
          </w:p>
        </w:tc>
      </w:tr>
      <w:tr w:rsidR="00617176" w:rsidRPr="00B87961" w:rsidTr="00F21FA5">
        <w:tc>
          <w:tcPr>
            <w:tcW w:w="4960" w:type="dxa"/>
            <w:vAlign w:val="center"/>
          </w:tcPr>
          <w:p w:rsidR="00617176" w:rsidRPr="00B87961" w:rsidRDefault="00617176" w:rsidP="00C86BBD">
            <w:pPr>
              <w:spacing w:line="312" w:lineRule="auto"/>
              <w:jc w:val="center"/>
              <w:rPr>
                <w:szCs w:val="24"/>
                <w:lang w:eastAsia="pl-PL"/>
              </w:rPr>
            </w:pPr>
            <w:r w:rsidRPr="00B87961">
              <w:rPr>
                <w:szCs w:val="24"/>
                <w:lang w:eastAsia="pl-PL"/>
              </w:rPr>
              <w:t>Analizy różnego typu (zdolności patentowej, potencjału rynkowego, ścieżek komercjalizacji, gotowości do wdrożenia, odbiorców wybranych technologii, „</w:t>
            </w:r>
            <w:proofErr w:type="spellStart"/>
            <w:r w:rsidRPr="00B87961">
              <w:rPr>
                <w:szCs w:val="24"/>
                <w:lang w:eastAsia="pl-PL"/>
              </w:rPr>
              <w:t>freedom</w:t>
            </w:r>
            <w:proofErr w:type="spellEnd"/>
            <w:r w:rsidRPr="00B87961">
              <w:rPr>
                <w:szCs w:val="24"/>
                <w:lang w:eastAsia="pl-PL"/>
              </w:rPr>
              <w:t xml:space="preserve"> to </w:t>
            </w:r>
            <w:proofErr w:type="spellStart"/>
            <w:r w:rsidRPr="00B87961">
              <w:rPr>
                <w:szCs w:val="24"/>
                <w:lang w:eastAsia="pl-PL"/>
              </w:rPr>
              <w:t>operate</w:t>
            </w:r>
            <w:proofErr w:type="spellEnd"/>
            <w:r w:rsidRPr="00B87961">
              <w:rPr>
                <w:szCs w:val="24"/>
                <w:lang w:eastAsia="pl-PL"/>
              </w:rPr>
              <w:t>”, wyceny) dla wybranych wynalazków i usług badawczych UJ i UEK wykonane we własnym zakresie przez brokerów innowacji lub przez podmioty zewnętrzne</w:t>
            </w:r>
          </w:p>
        </w:tc>
        <w:tc>
          <w:tcPr>
            <w:tcW w:w="5638" w:type="dxa"/>
            <w:vAlign w:val="center"/>
          </w:tcPr>
          <w:p w:rsidR="00617176" w:rsidRPr="00B87961" w:rsidRDefault="00940EA9" w:rsidP="00324F49">
            <w:pPr>
              <w:spacing w:line="312" w:lineRule="auto"/>
              <w:jc w:val="center"/>
              <w:rPr>
                <w:szCs w:val="24"/>
              </w:rPr>
            </w:pPr>
            <w:r>
              <w:rPr>
                <w:szCs w:val="24"/>
              </w:rPr>
              <w:t>40</w:t>
            </w:r>
          </w:p>
        </w:tc>
      </w:tr>
      <w:tr w:rsidR="00940EA9" w:rsidRPr="00B87961" w:rsidTr="00F21FA5">
        <w:tc>
          <w:tcPr>
            <w:tcW w:w="4960" w:type="dxa"/>
            <w:vAlign w:val="center"/>
          </w:tcPr>
          <w:p w:rsidR="00940EA9" w:rsidRPr="00B87961" w:rsidRDefault="00940EA9" w:rsidP="00C86BBD">
            <w:pPr>
              <w:spacing w:line="312" w:lineRule="auto"/>
              <w:jc w:val="center"/>
              <w:rPr>
                <w:szCs w:val="24"/>
                <w:lang w:eastAsia="pl-PL"/>
              </w:rPr>
            </w:pPr>
            <w:r>
              <w:rPr>
                <w:szCs w:val="24"/>
              </w:rPr>
              <w:t>Nowe</w:t>
            </w:r>
            <w:r w:rsidRPr="00225D08">
              <w:rPr>
                <w:b/>
                <w:szCs w:val="24"/>
              </w:rPr>
              <w:t xml:space="preserve"> </w:t>
            </w:r>
            <w:r w:rsidRPr="00940EA9">
              <w:rPr>
                <w:szCs w:val="24"/>
              </w:rPr>
              <w:t>oferty promocyjne zamieszczone w bazach technologicznych,</w:t>
            </w:r>
            <w:r>
              <w:rPr>
                <w:szCs w:val="24"/>
              </w:rPr>
              <w:t xml:space="preserve"> w tym bazie </w:t>
            </w:r>
            <w:r w:rsidRPr="00896C32">
              <w:rPr>
                <w:szCs w:val="24"/>
              </w:rPr>
              <w:t>www.sciencemarket.pl</w:t>
            </w:r>
            <w:r>
              <w:rPr>
                <w:szCs w:val="24"/>
              </w:rPr>
              <w:t xml:space="preserve"> oraz komercyjnych bazach technologicznych (np. </w:t>
            </w:r>
            <w:r w:rsidRPr="00896C32">
              <w:rPr>
                <w:szCs w:val="24"/>
              </w:rPr>
              <w:t>www.innoget.com</w:t>
            </w:r>
            <w:r>
              <w:rPr>
                <w:szCs w:val="24"/>
              </w:rPr>
              <w:t>).</w:t>
            </w:r>
          </w:p>
        </w:tc>
        <w:tc>
          <w:tcPr>
            <w:tcW w:w="5638" w:type="dxa"/>
            <w:vAlign w:val="center"/>
          </w:tcPr>
          <w:p w:rsidR="00940EA9" w:rsidRDefault="00976E0D" w:rsidP="00C86BBD">
            <w:pPr>
              <w:spacing w:line="312" w:lineRule="auto"/>
              <w:jc w:val="center"/>
              <w:rPr>
                <w:szCs w:val="24"/>
              </w:rPr>
            </w:pPr>
            <w:r>
              <w:rPr>
                <w:szCs w:val="24"/>
              </w:rPr>
              <w:t>20</w:t>
            </w:r>
          </w:p>
        </w:tc>
      </w:tr>
    </w:tbl>
    <w:p w:rsidR="00617176" w:rsidRDefault="00617176" w:rsidP="00106287">
      <w:pPr>
        <w:spacing w:line="312" w:lineRule="auto"/>
        <w:rPr>
          <w:szCs w:val="24"/>
        </w:rPr>
      </w:pPr>
    </w:p>
    <w:sectPr w:rsidR="00617176" w:rsidSect="00AF14A7">
      <w:headerReference w:type="default" r:id="rId9"/>
      <w:footerReference w:type="default" r:id="rId10"/>
      <w:headerReference w:type="first" r:id="rId11"/>
      <w:footerReference w:type="first" r:id="rId12"/>
      <w:pgSz w:w="11906" w:h="16838"/>
      <w:pgMar w:top="2183" w:right="991" w:bottom="993" w:left="1134" w:header="709"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8A" w:rsidRDefault="0077148A" w:rsidP="00497972">
      <w:r>
        <w:separator/>
      </w:r>
    </w:p>
  </w:endnote>
  <w:endnote w:type="continuationSeparator" w:id="0">
    <w:p w:rsidR="0077148A" w:rsidRDefault="0077148A" w:rsidP="0049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BD" w:rsidRDefault="00B10A3A">
    <w:pPr>
      <w:pStyle w:val="Stopka"/>
      <w:jc w:val="center"/>
    </w:pPr>
    <w:r>
      <w:rPr>
        <w:noProof/>
        <w:lang w:eastAsia="pl-PL"/>
      </w:rPr>
      <w:drawing>
        <wp:anchor distT="0" distB="0" distL="114300" distR="114300" simplePos="0" relativeHeight="251630592" behindDoc="0" locked="0" layoutInCell="1" allowOverlap="1" wp14:anchorId="129D8EB2" wp14:editId="4177EDD3">
          <wp:simplePos x="0" y="0"/>
          <wp:positionH relativeFrom="margin">
            <wp:posOffset>7958455</wp:posOffset>
          </wp:positionH>
          <wp:positionV relativeFrom="margin">
            <wp:posOffset>5316855</wp:posOffset>
          </wp:positionV>
          <wp:extent cx="1600200" cy="428625"/>
          <wp:effectExtent l="0" t="0" r="0" b="9525"/>
          <wp:wrapSquare wrapText="bothSides"/>
          <wp:docPr id="70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28625"/>
                  </a:xfrm>
                  <a:prstGeom prst="rect">
                    <a:avLst/>
                  </a:prstGeom>
                  <a:noFill/>
                </pic:spPr>
              </pic:pic>
            </a:graphicData>
          </a:graphic>
          <wp14:sizeRelH relativeFrom="page">
            <wp14:pctWidth>0</wp14:pctWidth>
          </wp14:sizeRelH>
          <wp14:sizeRelV relativeFrom="page">
            <wp14:pctHeight>0</wp14:pctHeight>
          </wp14:sizeRelV>
        </wp:anchor>
      </w:drawing>
    </w:r>
    <w:r w:rsidR="004259BD">
      <w:fldChar w:fldCharType="begin"/>
    </w:r>
    <w:r w:rsidR="004259BD">
      <w:instrText>PAGE   \* MERGEFORMAT</w:instrText>
    </w:r>
    <w:r w:rsidR="004259BD">
      <w:fldChar w:fldCharType="separate"/>
    </w:r>
    <w:r w:rsidR="00EB1ADB">
      <w:rPr>
        <w:noProof/>
      </w:rPr>
      <w:t>3</w:t>
    </w:r>
    <w:r w:rsidR="004259BD">
      <w:rPr>
        <w:noProof/>
      </w:rPr>
      <w:fldChar w:fldCharType="end"/>
    </w:r>
  </w:p>
  <w:p w:rsidR="004259BD" w:rsidRPr="00497972" w:rsidRDefault="004259BD" w:rsidP="00497972">
    <w:pPr>
      <w:tabs>
        <w:tab w:val="center" w:pos="4536"/>
        <w:tab w:val="right" w:pos="9072"/>
      </w:tabs>
      <w:jc w:val="center"/>
      <w:rPr>
        <w:rFonts w:ascii="Calibri" w:hAnsi="Calibri"/>
        <w:sz w:val="22"/>
        <w:szCs w:val="22"/>
      </w:rPr>
    </w:pPr>
  </w:p>
  <w:p w:rsidR="004259BD" w:rsidRPr="00497972" w:rsidRDefault="004259BD" w:rsidP="00305749">
    <w:pPr>
      <w:tabs>
        <w:tab w:val="left" w:pos="8365"/>
      </w:tabs>
      <w:rPr>
        <w:rFonts w:ascii="Calibri" w:hAnsi="Calibri"/>
        <w:sz w:val="22"/>
        <w:szCs w:val="22"/>
      </w:rPr>
    </w:pPr>
    <w:r>
      <w:rPr>
        <w:rFonts w:ascii="Calibri" w:hAnsi="Calibri"/>
        <w:sz w:val="22"/>
        <w:szCs w:val="22"/>
      </w:rPr>
      <w:tab/>
    </w:r>
  </w:p>
  <w:p w:rsidR="004259BD" w:rsidRPr="00497972" w:rsidRDefault="00EB1ADB" w:rsidP="00497972">
    <w:pPr>
      <w:tabs>
        <w:tab w:val="center" w:pos="4536"/>
        <w:tab w:val="right" w:pos="9072"/>
      </w:tabs>
      <w:ind w:firstLine="708"/>
      <w:rPr>
        <w:rFonts w:ascii="Calibri" w:hAnsi="Calibri"/>
        <w:sz w:val="22"/>
        <w:szCs w:val="22"/>
      </w:rPr>
    </w:pPr>
    <w:r>
      <w:rPr>
        <w:noProof/>
        <w:lang w:eastAsia="pl-PL"/>
      </w:rPr>
      <w:drawing>
        <wp:anchor distT="0" distB="0" distL="114300" distR="114300" simplePos="0" relativeHeight="251701248" behindDoc="1" locked="0" layoutInCell="1" allowOverlap="1" wp14:anchorId="30EB831B" wp14:editId="56117946">
          <wp:simplePos x="0" y="0"/>
          <wp:positionH relativeFrom="column">
            <wp:posOffset>4804410</wp:posOffset>
          </wp:positionH>
          <wp:positionV relativeFrom="paragraph">
            <wp:posOffset>93345</wp:posOffset>
          </wp:positionV>
          <wp:extent cx="1945005" cy="628015"/>
          <wp:effectExtent l="0" t="0" r="0" b="63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6280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99200" behindDoc="1" locked="0" layoutInCell="1" allowOverlap="1" wp14:anchorId="776663CB" wp14:editId="2E0F5C22">
          <wp:simplePos x="0" y="0"/>
          <wp:positionH relativeFrom="column">
            <wp:posOffset>840105</wp:posOffset>
          </wp:positionH>
          <wp:positionV relativeFrom="paragraph">
            <wp:posOffset>140970</wp:posOffset>
          </wp:positionV>
          <wp:extent cx="1767840" cy="5854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7840" cy="585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14:anchorId="1E4E41B8" wp14:editId="3B3C009E">
          <wp:simplePos x="0" y="0"/>
          <wp:positionH relativeFrom="column">
            <wp:posOffset>-678815</wp:posOffset>
          </wp:positionH>
          <wp:positionV relativeFrom="paragraph">
            <wp:posOffset>92710</wp:posOffset>
          </wp:positionV>
          <wp:extent cx="1375410" cy="739140"/>
          <wp:effectExtent l="0" t="0" r="0" b="3810"/>
          <wp:wrapNone/>
          <wp:docPr id="66" name="Obraz 66" descr="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FE_Inteligentny_Rozwoj_rgb-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54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9BD" w:rsidRDefault="00EB1ADB" w:rsidP="00497972">
    <w:pPr>
      <w:pStyle w:val="Stopka"/>
      <w:tabs>
        <w:tab w:val="clear" w:pos="4536"/>
        <w:tab w:val="clear" w:pos="9072"/>
        <w:tab w:val="left" w:pos="8445"/>
      </w:tabs>
    </w:pPr>
    <w:r>
      <w:rPr>
        <w:noProof/>
        <w:lang w:eastAsia="pl-PL"/>
      </w:rPr>
      <w:drawing>
        <wp:anchor distT="0" distB="0" distL="114300" distR="114300" simplePos="0" relativeHeight="251700224" behindDoc="1" locked="0" layoutInCell="1" allowOverlap="1" wp14:anchorId="07F07FE6" wp14:editId="30674D82">
          <wp:simplePos x="0" y="0"/>
          <wp:positionH relativeFrom="column">
            <wp:posOffset>2613660</wp:posOffset>
          </wp:positionH>
          <wp:positionV relativeFrom="paragraph">
            <wp:posOffset>55880</wp:posOffset>
          </wp:positionV>
          <wp:extent cx="2414270" cy="359410"/>
          <wp:effectExtent l="0" t="0" r="508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4270" cy="359410"/>
                  </a:xfrm>
                  <a:prstGeom prst="rect">
                    <a:avLst/>
                  </a:prstGeom>
                  <a:noFill/>
                </pic:spPr>
              </pic:pic>
            </a:graphicData>
          </a:graphic>
          <wp14:sizeRelH relativeFrom="page">
            <wp14:pctWidth>0</wp14:pctWidth>
          </wp14:sizeRelH>
          <wp14:sizeRelV relativeFrom="page">
            <wp14:pctHeight>0</wp14:pctHeight>
          </wp14:sizeRelV>
        </wp:anchor>
      </w:drawing>
    </w:r>
    <w:r w:rsidR="00D760EA">
      <w:rPr>
        <w:noProof/>
        <w:lang w:eastAsia="pl-PL"/>
      </w:rPr>
      <w:drawing>
        <wp:anchor distT="0" distB="0" distL="114300" distR="114300" simplePos="0" relativeHeight="251696128" behindDoc="0" locked="0" layoutInCell="1" allowOverlap="1" wp14:anchorId="06153B7D" wp14:editId="7797D3EB">
          <wp:simplePos x="0" y="0"/>
          <wp:positionH relativeFrom="column">
            <wp:posOffset>2598420</wp:posOffset>
          </wp:positionH>
          <wp:positionV relativeFrom="paragraph">
            <wp:posOffset>9673590</wp:posOffset>
          </wp:positionV>
          <wp:extent cx="1853565" cy="525780"/>
          <wp:effectExtent l="0" t="0" r="0" b="7620"/>
          <wp:wrapNone/>
          <wp:docPr id="712" name="Obraz 712"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3565" cy="525780"/>
                  </a:xfrm>
                  <a:prstGeom prst="rect">
                    <a:avLst/>
                  </a:prstGeom>
                  <a:noFill/>
                </pic:spPr>
              </pic:pic>
            </a:graphicData>
          </a:graphic>
          <wp14:sizeRelH relativeFrom="page">
            <wp14:pctWidth>0</wp14:pctWidth>
          </wp14:sizeRelH>
          <wp14:sizeRelV relativeFrom="page">
            <wp14:pctHeight>0</wp14:pctHeight>
          </wp14:sizeRelV>
        </wp:anchor>
      </w:drawing>
    </w:r>
    <w:r w:rsidR="00D760EA">
      <w:t xml:space="preserve">                                              </w:t>
    </w:r>
    <w:r w:rsidR="004259BD">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BD" w:rsidRDefault="00B3660D">
    <w:pPr>
      <w:pStyle w:val="Stopka"/>
      <w:jc w:val="center"/>
    </w:pPr>
    <w:r>
      <w:rPr>
        <w:noProof/>
        <w:lang w:eastAsia="pl-PL"/>
      </w:rPr>
      <w:drawing>
        <wp:anchor distT="0" distB="0" distL="114300" distR="114300" simplePos="0" relativeHeight="251675648" behindDoc="0" locked="0" layoutInCell="1" allowOverlap="1" wp14:anchorId="49717683" wp14:editId="20DC6771">
          <wp:simplePos x="0" y="0"/>
          <wp:positionH relativeFrom="column">
            <wp:posOffset>361315</wp:posOffset>
          </wp:positionH>
          <wp:positionV relativeFrom="paragraph">
            <wp:posOffset>9822815</wp:posOffset>
          </wp:positionV>
          <wp:extent cx="1426845" cy="404495"/>
          <wp:effectExtent l="0" t="0" r="1905" b="0"/>
          <wp:wrapNone/>
          <wp:docPr id="717" name="Obraz 717"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4044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71552" behindDoc="0" locked="0" layoutInCell="1" allowOverlap="1" wp14:anchorId="42792A73" wp14:editId="3D5E53CC">
          <wp:simplePos x="0" y="0"/>
          <wp:positionH relativeFrom="column">
            <wp:posOffset>361315</wp:posOffset>
          </wp:positionH>
          <wp:positionV relativeFrom="paragraph">
            <wp:posOffset>9822815</wp:posOffset>
          </wp:positionV>
          <wp:extent cx="1426845" cy="404495"/>
          <wp:effectExtent l="0" t="0" r="1905" b="0"/>
          <wp:wrapNone/>
          <wp:docPr id="718" name="Obraz 718"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4044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42880" behindDoc="0" locked="0" layoutInCell="1" allowOverlap="1" wp14:anchorId="66C180AA" wp14:editId="2871E582">
          <wp:simplePos x="0" y="0"/>
          <wp:positionH relativeFrom="column">
            <wp:posOffset>1985010</wp:posOffset>
          </wp:positionH>
          <wp:positionV relativeFrom="paragraph">
            <wp:posOffset>9701530</wp:posOffset>
          </wp:positionV>
          <wp:extent cx="1853565" cy="525780"/>
          <wp:effectExtent l="0" t="0" r="0" b="7620"/>
          <wp:wrapNone/>
          <wp:docPr id="719" name="Obraz 719"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525780"/>
                  </a:xfrm>
                  <a:prstGeom prst="rect">
                    <a:avLst/>
                  </a:prstGeom>
                  <a:noFill/>
                </pic:spPr>
              </pic:pic>
            </a:graphicData>
          </a:graphic>
          <wp14:sizeRelH relativeFrom="page">
            <wp14:pctWidth>0</wp14:pctWidth>
          </wp14:sizeRelH>
          <wp14:sizeRelV relativeFrom="page">
            <wp14:pctHeight>0</wp14:pctHeight>
          </wp14:sizeRelV>
        </wp:anchor>
      </w:drawing>
    </w:r>
    <w:r w:rsidR="004259BD">
      <w:fldChar w:fldCharType="begin"/>
    </w:r>
    <w:r w:rsidR="004259BD">
      <w:instrText>PAGE   \* MERGEFORMAT</w:instrText>
    </w:r>
    <w:r w:rsidR="004259BD">
      <w:fldChar w:fldCharType="separate"/>
    </w:r>
    <w:r w:rsidR="00D760EA">
      <w:rPr>
        <w:noProof/>
      </w:rPr>
      <w:t>1</w:t>
    </w:r>
    <w:r w:rsidR="004259BD">
      <w:rPr>
        <w:noProof/>
      </w:rPr>
      <w:fldChar w:fldCharType="end"/>
    </w:r>
  </w:p>
  <w:p w:rsidR="004259BD" w:rsidRDefault="00B3660D" w:rsidP="00B3660D">
    <w:pPr>
      <w:pStyle w:val="Stopka"/>
      <w:ind w:left="1644"/>
    </w:pPr>
    <w:r>
      <w:rPr>
        <w:noProof/>
        <w:lang w:eastAsia="pl-PL"/>
      </w:rPr>
      <w:drawing>
        <wp:anchor distT="0" distB="0" distL="114300" distR="114300" simplePos="0" relativeHeight="251622400" behindDoc="0" locked="0" layoutInCell="1" allowOverlap="1" wp14:anchorId="347E6759" wp14:editId="704F80DE">
          <wp:simplePos x="0" y="0"/>
          <wp:positionH relativeFrom="margin">
            <wp:posOffset>4229735</wp:posOffset>
          </wp:positionH>
          <wp:positionV relativeFrom="margin">
            <wp:posOffset>9496425</wp:posOffset>
          </wp:positionV>
          <wp:extent cx="1600200" cy="428625"/>
          <wp:effectExtent l="0" t="0" r="0" b="9525"/>
          <wp:wrapSquare wrapText="bothSides"/>
          <wp:docPr id="72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28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79744" behindDoc="0" locked="0" layoutInCell="1" allowOverlap="1" wp14:anchorId="350FC60D" wp14:editId="392DAEE0">
          <wp:simplePos x="0" y="0"/>
          <wp:positionH relativeFrom="column">
            <wp:posOffset>3065145</wp:posOffset>
          </wp:positionH>
          <wp:positionV relativeFrom="paragraph">
            <wp:posOffset>5139055</wp:posOffset>
          </wp:positionV>
          <wp:extent cx="1426845" cy="404495"/>
          <wp:effectExtent l="0" t="0" r="1905" b="0"/>
          <wp:wrapNone/>
          <wp:docPr id="721" name="Obraz 721"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4044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6432" behindDoc="0" locked="0" layoutInCell="1" allowOverlap="1" wp14:anchorId="289A8C29" wp14:editId="4BFFD0FE">
          <wp:simplePos x="0" y="0"/>
          <wp:positionH relativeFrom="column">
            <wp:posOffset>1985010</wp:posOffset>
          </wp:positionH>
          <wp:positionV relativeFrom="paragraph">
            <wp:posOffset>9822815</wp:posOffset>
          </wp:positionV>
          <wp:extent cx="1426845" cy="404495"/>
          <wp:effectExtent l="0" t="0" r="1905" b="0"/>
          <wp:wrapNone/>
          <wp:docPr id="722" name="Obraz 722"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4044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0" locked="0" layoutInCell="1" allowOverlap="1" wp14:anchorId="300180C8" wp14:editId="44B650B2">
          <wp:simplePos x="0" y="0"/>
          <wp:positionH relativeFrom="column">
            <wp:posOffset>1985010</wp:posOffset>
          </wp:positionH>
          <wp:positionV relativeFrom="paragraph">
            <wp:posOffset>9822815</wp:posOffset>
          </wp:positionV>
          <wp:extent cx="1426845" cy="404495"/>
          <wp:effectExtent l="0" t="0" r="1905" b="0"/>
          <wp:wrapNone/>
          <wp:docPr id="723" name="Obraz 723"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4044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2142A6EA" wp14:editId="150A2837">
          <wp:simplePos x="0" y="0"/>
          <wp:positionH relativeFrom="column">
            <wp:posOffset>1985010</wp:posOffset>
          </wp:positionH>
          <wp:positionV relativeFrom="paragraph">
            <wp:posOffset>9822815</wp:posOffset>
          </wp:positionV>
          <wp:extent cx="1426845" cy="404495"/>
          <wp:effectExtent l="0" t="0" r="1905" b="0"/>
          <wp:wrapNone/>
          <wp:docPr id="724" name="Obraz 724"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4044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0" locked="0" layoutInCell="1" allowOverlap="1" wp14:anchorId="41B58B37" wp14:editId="6CAA9086">
          <wp:simplePos x="0" y="0"/>
          <wp:positionH relativeFrom="column">
            <wp:posOffset>1985010</wp:posOffset>
          </wp:positionH>
          <wp:positionV relativeFrom="paragraph">
            <wp:posOffset>9701530</wp:posOffset>
          </wp:positionV>
          <wp:extent cx="1853565" cy="525780"/>
          <wp:effectExtent l="0" t="0" r="0" b="7620"/>
          <wp:wrapNone/>
          <wp:docPr id="725" name="Obraz 725"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525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1072" behindDoc="0" locked="0" layoutInCell="1" allowOverlap="1" wp14:anchorId="667752D3" wp14:editId="0AB14318">
          <wp:simplePos x="0" y="0"/>
          <wp:positionH relativeFrom="column">
            <wp:posOffset>1985010</wp:posOffset>
          </wp:positionH>
          <wp:positionV relativeFrom="paragraph">
            <wp:posOffset>9701530</wp:posOffset>
          </wp:positionV>
          <wp:extent cx="1853565" cy="525780"/>
          <wp:effectExtent l="0" t="0" r="0" b="7620"/>
          <wp:wrapNone/>
          <wp:docPr id="726" name="Obraz 726"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525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38784" behindDoc="0" locked="0" layoutInCell="1" allowOverlap="1" wp14:anchorId="4D67AC69" wp14:editId="1D4E16EE">
          <wp:simplePos x="0" y="0"/>
          <wp:positionH relativeFrom="column">
            <wp:posOffset>1985010</wp:posOffset>
          </wp:positionH>
          <wp:positionV relativeFrom="paragraph">
            <wp:posOffset>9701530</wp:posOffset>
          </wp:positionV>
          <wp:extent cx="1853565" cy="525780"/>
          <wp:effectExtent l="0" t="0" r="0" b="7620"/>
          <wp:wrapNone/>
          <wp:docPr id="727" name="Obraz 727"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5257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8A" w:rsidRDefault="0077148A" w:rsidP="00497972">
      <w:r>
        <w:separator/>
      </w:r>
    </w:p>
  </w:footnote>
  <w:footnote w:type="continuationSeparator" w:id="0">
    <w:p w:rsidR="0077148A" w:rsidRDefault="0077148A" w:rsidP="00497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0EA" w:rsidRDefault="00EB1ADB">
    <w:pPr>
      <w:pStyle w:val="Nagwek"/>
    </w:pPr>
    <w:r>
      <w:rPr>
        <w:noProof/>
        <w:lang w:eastAsia="pl-PL"/>
      </w:rPr>
      <w:pict w14:anchorId="0C2FA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89" type="#_x0000_t75" style="position:absolute;margin-left:240.4pt;margin-top:11.6pt;width:78.65pt;height:45.9pt;z-index:251682816;mso-position-horizontal-relative:text;mso-position-vertical-relative:text">
          <v:imagedata r:id="rId1" o:title=""/>
          <w10:wrap type="square"/>
        </v:shape>
        <o:OLEObject Type="Embed" ProgID="AcroExch.Document.DC" ShapeID="_x0000_s12289" DrawAspect="Content" ObjectID="_1619847406" r:id="rId2"/>
      </w:pict>
    </w:r>
    <w:r w:rsidR="00AF14A7" w:rsidRPr="00AF14A7">
      <w:rPr>
        <w:noProof/>
        <w:lang w:eastAsia="pl-PL"/>
      </w:rPr>
      <w:drawing>
        <wp:anchor distT="0" distB="0" distL="114300" distR="114300" simplePos="0" relativeHeight="251626496" behindDoc="0" locked="0" layoutInCell="1" allowOverlap="1" wp14:anchorId="40DD0077" wp14:editId="7967A853">
          <wp:simplePos x="0" y="0"/>
          <wp:positionH relativeFrom="column">
            <wp:posOffset>4530725</wp:posOffset>
          </wp:positionH>
          <wp:positionV relativeFrom="page">
            <wp:posOffset>760095</wp:posOffset>
          </wp:positionV>
          <wp:extent cx="1311275" cy="273050"/>
          <wp:effectExtent l="0" t="0" r="3175" b="0"/>
          <wp:wrapSquare wrapText="bothSides"/>
          <wp:docPr id="706" name="Obraz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1275" cy="273050"/>
                  </a:xfrm>
                  <a:prstGeom prst="rect">
                    <a:avLst/>
                  </a:prstGeom>
                  <a:noFill/>
                </pic:spPr>
              </pic:pic>
            </a:graphicData>
          </a:graphic>
          <wp14:sizeRelV relativeFrom="margin">
            <wp14:pctHeight>0</wp14:pctHeight>
          </wp14:sizeRelV>
        </wp:anchor>
      </w:drawing>
    </w:r>
    <w:r w:rsidR="00AF14A7" w:rsidRPr="00AF14A7">
      <w:rPr>
        <w:noProof/>
        <w:lang w:eastAsia="pl-PL"/>
      </w:rPr>
      <w:drawing>
        <wp:anchor distT="0" distB="0" distL="114300" distR="114300" simplePos="0" relativeHeight="251634688" behindDoc="1" locked="0" layoutInCell="1" allowOverlap="1" wp14:anchorId="18B162DA" wp14:editId="682A11D8">
          <wp:simplePos x="0" y="0"/>
          <wp:positionH relativeFrom="column">
            <wp:posOffset>1414145</wp:posOffset>
          </wp:positionH>
          <wp:positionV relativeFrom="paragraph">
            <wp:posOffset>180340</wp:posOffset>
          </wp:positionV>
          <wp:extent cx="815975" cy="492125"/>
          <wp:effectExtent l="0" t="0" r="3175" b="3175"/>
          <wp:wrapTight wrapText="bothSides">
            <wp:wrapPolygon edited="0">
              <wp:start x="0" y="0"/>
              <wp:lineTo x="0" y="20903"/>
              <wp:lineTo x="21180" y="20903"/>
              <wp:lineTo x="21180" y="0"/>
              <wp:lineTo x="0" y="0"/>
            </wp:wrapPolygon>
          </wp:wrapTight>
          <wp:docPr id="707" name="Obraz 707"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5975" cy="492125"/>
                  </a:xfrm>
                  <a:prstGeom prst="rect">
                    <a:avLst/>
                  </a:prstGeom>
                  <a:noFill/>
                  <a:ln>
                    <a:noFill/>
                  </a:ln>
                </pic:spPr>
              </pic:pic>
            </a:graphicData>
          </a:graphic>
        </wp:anchor>
      </w:drawing>
    </w:r>
    <w:r w:rsidR="00AF14A7" w:rsidRPr="00AF14A7">
      <w:rPr>
        <w:noProof/>
        <w:lang w:eastAsia="pl-PL"/>
      </w:rPr>
      <w:drawing>
        <wp:anchor distT="0" distB="0" distL="114300" distR="114300" simplePos="0" relativeHeight="251646976" behindDoc="1" locked="0" layoutInCell="1" allowOverlap="1" wp14:anchorId="30FB84B4" wp14:editId="3C1EC32F">
          <wp:simplePos x="0" y="0"/>
          <wp:positionH relativeFrom="column">
            <wp:posOffset>0</wp:posOffset>
          </wp:positionH>
          <wp:positionV relativeFrom="paragraph">
            <wp:posOffset>238125</wp:posOffset>
          </wp:positionV>
          <wp:extent cx="900430" cy="427355"/>
          <wp:effectExtent l="0" t="0" r="0" b="0"/>
          <wp:wrapTight wrapText="bothSides">
            <wp:wrapPolygon edited="0">
              <wp:start x="0" y="0"/>
              <wp:lineTo x="0" y="20220"/>
              <wp:lineTo x="21021" y="20220"/>
              <wp:lineTo x="21021" y="0"/>
              <wp:lineTo x="0" y="0"/>
            </wp:wrapPolygon>
          </wp:wrapTight>
          <wp:docPr id="708" name="Obraz 708"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0430" cy="42735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BD" w:rsidRDefault="00D760EA" w:rsidP="00F20CC1">
    <w:pPr>
      <w:tabs>
        <w:tab w:val="left" w:pos="6162"/>
        <w:tab w:val="left" w:pos="9021"/>
      </w:tabs>
      <w:ind w:firstLine="2832"/>
    </w:pPr>
    <w:r>
      <w:rPr>
        <w:noProof/>
        <w:lang w:eastAsia="pl-PL"/>
      </w:rPr>
      <w:drawing>
        <wp:anchor distT="0" distB="0" distL="114300" distR="114300" simplePos="0" relativeHeight="251687936" behindDoc="0" locked="0" layoutInCell="1" allowOverlap="1" wp14:anchorId="7E7AA1A6" wp14:editId="419849F3">
          <wp:simplePos x="0" y="0"/>
          <wp:positionH relativeFrom="column">
            <wp:posOffset>3514725</wp:posOffset>
          </wp:positionH>
          <wp:positionV relativeFrom="paragraph">
            <wp:posOffset>-675640</wp:posOffset>
          </wp:positionV>
          <wp:extent cx="1166495" cy="702945"/>
          <wp:effectExtent l="0" t="0" r="0" b="1905"/>
          <wp:wrapSquare wrapText="bothSides"/>
          <wp:docPr id="714" name="Obraz 714"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83840" behindDoc="0" locked="0" layoutInCell="1" allowOverlap="1" wp14:anchorId="0A59D7CE" wp14:editId="33B8BC39">
          <wp:simplePos x="0" y="0"/>
          <wp:positionH relativeFrom="column">
            <wp:posOffset>526415</wp:posOffset>
          </wp:positionH>
          <wp:positionV relativeFrom="paragraph">
            <wp:posOffset>-748665</wp:posOffset>
          </wp:positionV>
          <wp:extent cx="1774190" cy="863600"/>
          <wp:effectExtent l="0" t="0" r="0" b="0"/>
          <wp:wrapSquare wrapText="bothSides"/>
          <wp:docPr id="715" name="Obraz 715" descr="uj_herb_napis_centralny_podstawowy_PL_Cmyk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_herb_napis_centralny_podstawowy_PL_Cmyk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19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A3A">
      <w:rPr>
        <w:noProof/>
        <w:lang w:eastAsia="pl-PL"/>
      </w:rPr>
      <w:drawing>
        <wp:anchor distT="0" distB="0" distL="114300" distR="114300" simplePos="0" relativeHeight="251618304" behindDoc="0" locked="0" layoutInCell="1" allowOverlap="1" wp14:anchorId="5119ADFF" wp14:editId="613500ED">
          <wp:simplePos x="0" y="0"/>
          <wp:positionH relativeFrom="margin">
            <wp:posOffset>7740015</wp:posOffset>
          </wp:positionH>
          <wp:positionV relativeFrom="margin">
            <wp:posOffset>-144780</wp:posOffset>
          </wp:positionV>
          <wp:extent cx="1600200" cy="428625"/>
          <wp:effectExtent l="0" t="0" r="0" b="9525"/>
          <wp:wrapSquare wrapText="bothSides"/>
          <wp:docPr id="716" name="Obraz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428625"/>
                  </a:xfrm>
                  <a:prstGeom prst="rect">
                    <a:avLst/>
                  </a:prstGeom>
                  <a:noFill/>
                </pic:spPr>
              </pic:pic>
            </a:graphicData>
          </a:graphic>
          <wp14:sizeRelH relativeFrom="page">
            <wp14:pctWidth>0</wp14:pctWidth>
          </wp14:sizeRelH>
          <wp14:sizeRelV relativeFrom="page">
            <wp14:pctHeight>0</wp14:pctHeight>
          </wp14:sizeRelV>
        </wp:anchor>
      </w:drawing>
    </w:r>
    <w:r w:rsidR="004259BD">
      <w:rPr>
        <w:rFonts w:ascii="Calibri" w:hAnsi="Calibri"/>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6E9"/>
    <w:multiLevelType w:val="hybridMultilevel"/>
    <w:tmpl w:val="E0CCA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7B003D"/>
    <w:multiLevelType w:val="hybridMultilevel"/>
    <w:tmpl w:val="D49E40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93F6D02"/>
    <w:multiLevelType w:val="hybridMultilevel"/>
    <w:tmpl w:val="4978EFA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nsid w:val="0AD83A3E"/>
    <w:multiLevelType w:val="hybridMultilevel"/>
    <w:tmpl w:val="D932EE5E"/>
    <w:lvl w:ilvl="0" w:tplc="42EA702A">
      <w:start w:val="1"/>
      <w:numFmt w:val="decimal"/>
      <w:lvlText w:val="%1."/>
      <w:lvlJc w:val="left"/>
      <w:pPr>
        <w:tabs>
          <w:tab w:val="num" w:pos="360"/>
        </w:tabs>
        <w:ind w:left="360" w:hanging="360"/>
      </w:pPr>
      <w:rPr>
        <w:rFonts w:ascii="Times New Roman" w:hAnsi="Times New Roman" w:cs="Times New Roman" w:hint="default"/>
        <w:sz w:val="20"/>
        <w:szCs w:val="20"/>
      </w:rPr>
    </w:lvl>
    <w:lvl w:ilvl="1" w:tplc="94BC536C">
      <w:start w:val="1"/>
      <w:numFmt w:val="decimal"/>
      <w:lvlText w:val="%2."/>
      <w:lvlJc w:val="left"/>
      <w:pPr>
        <w:tabs>
          <w:tab w:val="num" w:pos="1440"/>
        </w:tabs>
        <w:ind w:left="1440" w:hanging="360"/>
      </w:pPr>
      <w:rPr>
        <w:rFonts w:cs="Times New Roman" w:hint="default"/>
        <w:sz w:val="22"/>
        <w:szCs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AE63A58"/>
    <w:multiLevelType w:val="hybridMultilevel"/>
    <w:tmpl w:val="0A28F908"/>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CAE1443"/>
    <w:multiLevelType w:val="hybridMultilevel"/>
    <w:tmpl w:val="9CC6D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AE2B61"/>
    <w:multiLevelType w:val="hybridMultilevel"/>
    <w:tmpl w:val="E5DA70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FAB3F5C"/>
    <w:multiLevelType w:val="hybridMultilevel"/>
    <w:tmpl w:val="C6809478"/>
    <w:lvl w:ilvl="0" w:tplc="7CB825B6">
      <w:start w:val="1"/>
      <w:numFmt w:val="bullet"/>
      <w:lvlText w:val=""/>
      <w:lvlJc w:val="left"/>
      <w:pPr>
        <w:tabs>
          <w:tab w:val="num" w:pos="1740"/>
        </w:tabs>
        <w:ind w:left="1740" w:hanging="360"/>
      </w:pPr>
      <w:rPr>
        <w:rFonts w:ascii="Symbol" w:hAnsi="Symbol" w:hint="default"/>
      </w:rPr>
    </w:lvl>
    <w:lvl w:ilvl="1" w:tplc="EC30944A">
      <w:start w:val="1"/>
      <w:numFmt w:val="decimal"/>
      <w:lvlText w:val="%2)"/>
      <w:lvlJc w:val="left"/>
      <w:pPr>
        <w:tabs>
          <w:tab w:val="num" w:pos="1740"/>
        </w:tabs>
        <w:ind w:left="1740" w:hanging="360"/>
      </w:pPr>
      <w:rPr>
        <w:rFonts w:cs="Times New Roman" w:hint="default"/>
      </w:rPr>
    </w:lvl>
    <w:lvl w:ilvl="2" w:tplc="0415001B">
      <w:start w:val="1"/>
      <w:numFmt w:val="lowerRoman"/>
      <w:lvlText w:val="%3."/>
      <w:lvlJc w:val="right"/>
      <w:pPr>
        <w:tabs>
          <w:tab w:val="num" w:pos="2460"/>
        </w:tabs>
        <w:ind w:left="2460" w:hanging="180"/>
      </w:pPr>
      <w:rPr>
        <w:rFonts w:cs="Times New Roman"/>
      </w:rPr>
    </w:lvl>
    <w:lvl w:ilvl="3" w:tplc="7CB825B6">
      <w:start w:val="1"/>
      <w:numFmt w:val="bullet"/>
      <w:lvlText w:val=""/>
      <w:lvlJc w:val="left"/>
      <w:pPr>
        <w:tabs>
          <w:tab w:val="num" w:pos="3180"/>
        </w:tabs>
        <w:ind w:left="3180" w:hanging="360"/>
      </w:pPr>
      <w:rPr>
        <w:rFonts w:ascii="Symbol" w:hAnsi="Symbol" w:hint="default"/>
      </w:rPr>
    </w:lvl>
    <w:lvl w:ilvl="4" w:tplc="04150019" w:tentative="1">
      <w:start w:val="1"/>
      <w:numFmt w:val="lowerLetter"/>
      <w:lvlText w:val="%5."/>
      <w:lvlJc w:val="left"/>
      <w:pPr>
        <w:tabs>
          <w:tab w:val="num" w:pos="3900"/>
        </w:tabs>
        <w:ind w:left="3900" w:hanging="360"/>
      </w:pPr>
      <w:rPr>
        <w:rFonts w:cs="Times New Roman"/>
      </w:rPr>
    </w:lvl>
    <w:lvl w:ilvl="5" w:tplc="0415001B" w:tentative="1">
      <w:start w:val="1"/>
      <w:numFmt w:val="lowerRoman"/>
      <w:lvlText w:val="%6."/>
      <w:lvlJc w:val="right"/>
      <w:pPr>
        <w:tabs>
          <w:tab w:val="num" w:pos="4620"/>
        </w:tabs>
        <w:ind w:left="4620" w:hanging="180"/>
      </w:pPr>
      <w:rPr>
        <w:rFonts w:cs="Times New Roman"/>
      </w:rPr>
    </w:lvl>
    <w:lvl w:ilvl="6" w:tplc="0415000F" w:tentative="1">
      <w:start w:val="1"/>
      <w:numFmt w:val="decimal"/>
      <w:lvlText w:val="%7."/>
      <w:lvlJc w:val="left"/>
      <w:pPr>
        <w:tabs>
          <w:tab w:val="num" w:pos="5340"/>
        </w:tabs>
        <w:ind w:left="5340" w:hanging="360"/>
      </w:pPr>
      <w:rPr>
        <w:rFonts w:cs="Times New Roman"/>
      </w:rPr>
    </w:lvl>
    <w:lvl w:ilvl="7" w:tplc="04150019" w:tentative="1">
      <w:start w:val="1"/>
      <w:numFmt w:val="lowerLetter"/>
      <w:lvlText w:val="%8."/>
      <w:lvlJc w:val="left"/>
      <w:pPr>
        <w:tabs>
          <w:tab w:val="num" w:pos="6060"/>
        </w:tabs>
        <w:ind w:left="6060" w:hanging="360"/>
      </w:pPr>
      <w:rPr>
        <w:rFonts w:cs="Times New Roman"/>
      </w:rPr>
    </w:lvl>
    <w:lvl w:ilvl="8" w:tplc="0415001B" w:tentative="1">
      <w:start w:val="1"/>
      <w:numFmt w:val="lowerRoman"/>
      <w:lvlText w:val="%9."/>
      <w:lvlJc w:val="right"/>
      <w:pPr>
        <w:tabs>
          <w:tab w:val="num" w:pos="6780"/>
        </w:tabs>
        <w:ind w:left="6780" w:hanging="180"/>
      </w:pPr>
      <w:rPr>
        <w:rFonts w:cs="Times New Roman"/>
      </w:rPr>
    </w:lvl>
  </w:abstractNum>
  <w:abstractNum w:abstractNumId="8">
    <w:nsid w:val="165F639B"/>
    <w:multiLevelType w:val="hybridMultilevel"/>
    <w:tmpl w:val="D6F2A2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8617122"/>
    <w:multiLevelType w:val="hybridMultilevel"/>
    <w:tmpl w:val="C9ECE054"/>
    <w:lvl w:ilvl="0" w:tplc="04150017">
      <w:start w:val="1"/>
      <w:numFmt w:val="lowerLetter"/>
      <w:lvlText w:val="%1)"/>
      <w:lvlJc w:val="left"/>
      <w:pPr>
        <w:ind w:left="1287" w:hanging="360"/>
      </w:pPr>
      <w:rPr>
        <w:rFonts w:cs="Times New Roman"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188311E3"/>
    <w:multiLevelType w:val="hybridMultilevel"/>
    <w:tmpl w:val="CA1E5E1E"/>
    <w:lvl w:ilvl="0" w:tplc="D00868C6">
      <w:start w:val="1"/>
      <w:numFmt w:val="upperRoman"/>
      <w:lvlText w:val="%1."/>
      <w:lvlJc w:val="left"/>
      <w:pPr>
        <w:tabs>
          <w:tab w:val="num" w:pos="1428"/>
        </w:tabs>
        <w:ind w:left="1428" w:hanging="72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1">
    <w:nsid w:val="1C9F3550"/>
    <w:multiLevelType w:val="hybridMultilevel"/>
    <w:tmpl w:val="D772E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2B42C0"/>
    <w:multiLevelType w:val="hybridMultilevel"/>
    <w:tmpl w:val="F6DE31A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nsid w:val="27756436"/>
    <w:multiLevelType w:val="hybridMultilevel"/>
    <w:tmpl w:val="7DC2E4A6"/>
    <w:lvl w:ilvl="0" w:tplc="29E6AC3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9491FA9"/>
    <w:multiLevelType w:val="hybridMultilevel"/>
    <w:tmpl w:val="C10EC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F25F80"/>
    <w:multiLevelType w:val="hybridMultilevel"/>
    <w:tmpl w:val="165E7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955422"/>
    <w:multiLevelType w:val="hybridMultilevel"/>
    <w:tmpl w:val="AFF49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B401F5"/>
    <w:multiLevelType w:val="hybridMultilevel"/>
    <w:tmpl w:val="0442B2EC"/>
    <w:lvl w:ilvl="0" w:tplc="57CCC07C">
      <w:start w:val="2"/>
      <w:numFmt w:val="upperRoman"/>
      <w:lvlText w:val="%1."/>
      <w:lvlJc w:val="left"/>
      <w:pPr>
        <w:ind w:left="72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2DF47C4"/>
    <w:multiLevelType w:val="hybridMultilevel"/>
    <w:tmpl w:val="D4D4406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3200868"/>
    <w:multiLevelType w:val="hybridMultilevel"/>
    <w:tmpl w:val="64B04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3C266CB"/>
    <w:multiLevelType w:val="hybridMultilevel"/>
    <w:tmpl w:val="8E3ACBCA"/>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97745E8"/>
    <w:multiLevelType w:val="hybridMultilevel"/>
    <w:tmpl w:val="B7A81BD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AFF7DAD"/>
    <w:multiLevelType w:val="hybridMultilevel"/>
    <w:tmpl w:val="720C8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B8947D9"/>
    <w:multiLevelType w:val="hybridMultilevel"/>
    <w:tmpl w:val="23945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FFA2194"/>
    <w:multiLevelType w:val="hybridMultilevel"/>
    <w:tmpl w:val="AAAC3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12E4834"/>
    <w:multiLevelType w:val="hybridMultilevel"/>
    <w:tmpl w:val="4F7CD6FC"/>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nsid w:val="44070C1B"/>
    <w:multiLevelType w:val="hybridMultilevel"/>
    <w:tmpl w:val="3432E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52C5AA0"/>
    <w:multiLevelType w:val="hybridMultilevel"/>
    <w:tmpl w:val="DB527492"/>
    <w:lvl w:ilvl="0" w:tplc="7A046DE2">
      <w:start w:val="1"/>
      <w:numFmt w:val="decimal"/>
      <w:lvlText w:val="%1."/>
      <w:lvlJc w:val="left"/>
      <w:pPr>
        <w:ind w:left="364" w:hanging="284"/>
      </w:pPr>
      <w:rPr>
        <w:rFonts w:ascii="Verdana" w:eastAsia="Times New Roman" w:hAnsi="Verdana" w:cs="Times New Roman" w:hint="default"/>
        <w:w w:val="99"/>
        <w:sz w:val="18"/>
        <w:szCs w:val="18"/>
      </w:rPr>
    </w:lvl>
    <w:lvl w:ilvl="1" w:tplc="DA1C20C8">
      <w:start w:val="1"/>
      <w:numFmt w:val="bullet"/>
      <w:lvlText w:val="•"/>
      <w:lvlJc w:val="left"/>
      <w:pPr>
        <w:ind w:left="1304" w:hanging="284"/>
      </w:pPr>
      <w:rPr>
        <w:rFonts w:hint="default"/>
      </w:rPr>
    </w:lvl>
    <w:lvl w:ilvl="2" w:tplc="0D5A9B3C">
      <w:start w:val="1"/>
      <w:numFmt w:val="bullet"/>
      <w:lvlText w:val="•"/>
      <w:lvlJc w:val="left"/>
      <w:pPr>
        <w:ind w:left="2248" w:hanging="284"/>
      </w:pPr>
      <w:rPr>
        <w:rFonts w:hint="default"/>
      </w:rPr>
    </w:lvl>
    <w:lvl w:ilvl="3" w:tplc="C5BA190C">
      <w:start w:val="1"/>
      <w:numFmt w:val="bullet"/>
      <w:lvlText w:val="•"/>
      <w:lvlJc w:val="left"/>
      <w:pPr>
        <w:ind w:left="3192" w:hanging="284"/>
      </w:pPr>
      <w:rPr>
        <w:rFonts w:hint="default"/>
      </w:rPr>
    </w:lvl>
    <w:lvl w:ilvl="4" w:tplc="477CAFEE">
      <w:start w:val="1"/>
      <w:numFmt w:val="bullet"/>
      <w:lvlText w:val="•"/>
      <w:lvlJc w:val="left"/>
      <w:pPr>
        <w:ind w:left="4137" w:hanging="284"/>
      </w:pPr>
      <w:rPr>
        <w:rFonts w:hint="default"/>
      </w:rPr>
    </w:lvl>
    <w:lvl w:ilvl="5" w:tplc="B3F8DA9A">
      <w:start w:val="1"/>
      <w:numFmt w:val="bullet"/>
      <w:lvlText w:val="•"/>
      <w:lvlJc w:val="left"/>
      <w:pPr>
        <w:ind w:left="5081" w:hanging="284"/>
      </w:pPr>
      <w:rPr>
        <w:rFonts w:hint="default"/>
      </w:rPr>
    </w:lvl>
    <w:lvl w:ilvl="6" w:tplc="D5220262">
      <w:start w:val="1"/>
      <w:numFmt w:val="bullet"/>
      <w:lvlText w:val="•"/>
      <w:lvlJc w:val="left"/>
      <w:pPr>
        <w:ind w:left="6025" w:hanging="284"/>
      </w:pPr>
      <w:rPr>
        <w:rFonts w:hint="default"/>
      </w:rPr>
    </w:lvl>
    <w:lvl w:ilvl="7" w:tplc="B0CE67BA">
      <w:start w:val="1"/>
      <w:numFmt w:val="bullet"/>
      <w:lvlText w:val="•"/>
      <w:lvlJc w:val="left"/>
      <w:pPr>
        <w:ind w:left="6969" w:hanging="284"/>
      </w:pPr>
      <w:rPr>
        <w:rFonts w:hint="default"/>
      </w:rPr>
    </w:lvl>
    <w:lvl w:ilvl="8" w:tplc="E54C38A8">
      <w:start w:val="1"/>
      <w:numFmt w:val="bullet"/>
      <w:lvlText w:val="•"/>
      <w:lvlJc w:val="left"/>
      <w:pPr>
        <w:ind w:left="7914" w:hanging="284"/>
      </w:pPr>
      <w:rPr>
        <w:rFonts w:hint="default"/>
      </w:rPr>
    </w:lvl>
  </w:abstractNum>
  <w:abstractNum w:abstractNumId="28">
    <w:nsid w:val="45EF2AC4"/>
    <w:multiLevelType w:val="hybridMultilevel"/>
    <w:tmpl w:val="CAE08484"/>
    <w:lvl w:ilvl="0" w:tplc="29E6AC3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A5E434B"/>
    <w:multiLevelType w:val="multilevel"/>
    <w:tmpl w:val="B4349E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B4B5337"/>
    <w:multiLevelType w:val="hybridMultilevel"/>
    <w:tmpl w:val="4C72059A"/>
    <w:lvl w:ilvl="0" w:tplc="5560D02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B500AB9"/>
    <w:multiLevelType w:val="hybridMultilevel"/>
    <w:tmpl w:val="65889BDE"/>
    <w:lvl w:ilvl="0" w:tplc="7CB825B6">
      <w:start w:val="1"/>
      <w:numFmt w:val="bullet"/>
      <w:lvlText w:val=""/>
      <w:lvlJc w:val="left"/>
      <w:pPr>
        <w:tabs>
          <w:tab w:val="num" w:pos="1776"/>
        </w:tabs>
        <w:ind w:left="1776" w:hanging="360"/>
      </w:pPr>
      <w:rPr>
        <w:rFonts w:ascii="Symbol" w:hAnsi="Symbol" w:hint="default"/>
      </w:rPr>
    </w:lvl>
    <w:lvl w:ilvl="1" w:tplc="04150003" w:tentative="1">
      <w:start w:val="1"/>
      <w:numFmt w:val="bullet"/>
      <w:lvlText w:val="o"/>
      <w:lvlJc w:val="left"/>
      <w:pPr>
        <w:tabs>
          <w:tab w:val="num" w:pos="2856"/>
        </w:tabs>
        <w:ind w:left="2856" w:hanging="360"/>
      </w:pPr>
      <w:rPr>
        <w:rFonts w:ascii="Courier New" w:hAnsi="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32">
    <w:nsid w:val="4C076D04"/>
    <w:multiLevelType w:val="hybridMultilevel"/>
    <w:tmpl w:val="0EA07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83613A"/>
    <w:multiLevelType w:val="hybridMultilevel"/>
    <w:tmpl w:val="87484A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F901827"/>
    <w:multiLevelType w:val="hybridMultilevel"/>
    <w:tmpl w:val="878A4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FDE4540"/>
    <w:multiLevelType w:val="hybridMultilevel"/>
    <w:tmpl w:val="C83EB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06320AA"/>
    <w:multiLevelType w:val="hybridMultilevel"/>
    <w:tmpl w:val="C778E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2C17C2D"/>
    <w:multiLevelType w:val="hybridMultilevel"/>
    <w:tmpl w:val="246C8944"/>
    <w:lvl w:ilvl="0" w:tplc="04150017">
      <w:start w:val="1"/>
      <w:numFmt w:val="lowerLetter"/>
      <w:lvlText w:val="%1)"/>
      <w:lvlJc w:val="left"/>
      <w:pPr>
        <w:ind w:left="277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8835D80"/>
    <w:multiLevelType w:val="hybridMultilevel"/>
    <w:tmpl w:val="83A49662"/>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A3559A2"/>
    <w:multiLevelType w:val="multilevel"/>
    <w:tmpl w:val="058E73CA"/>
    <w:lvl w:ilvl="0">
      <w:start w:val="4"/>
      <w:numFmt w:val="decimal"/>
      <w:lvlText w:val="%1)"/>
      <w:lvlJc w:val="left"/>
      <w:pPr>
        <w:tabs>
          <w:tab w:val="num" w:pos="1428"/>
        </w:tabs>
        <w:ind w:left="1428" w:hanging="360"/>
      </w:pPr>
      <w:rPr>
        <w:rFonts w:cs="Times New Roman" w:hint="default"/>
      </w:rPr>
    </w:lvl>
    <w:lvl w:ilvl="1">
      <w:start w:val="1"/>
      <w:numFmt w:val="decimal"/>
      <w:lvlText w:val="%2)"/>
      <w:lvlJc w:val="left"/>
      <w:pPr>
        <w:tabs>
          <w:tab w:val="num" w:pos="2148"/>
        </w:tabs>
        <w:ind w:left="2148" w:hanging="360"/>
      </w:pPr>
      <w:rPr>
        <w:rFonts w:cs="Times New Roman" w:hint="default"/>
      </w:rPr>
    </w:lvl>
    <w:lvl w:ilvl="2">
      <w:start w:val="1"/>
      <w:numFmt w:val="decimal"/>
      <w:lvlText w:val="%3."/>
      <w:lvlJc w:val="left"/>
      <w:pPr>
        <w:tabs>
          <w:tab w:val="num" w:pos="2868"/>
        </w:tabs>
        <w:ind w:left="2868" w:hanging="360"/>
      </w:pPr>
      <w:rPr>
        <w:rFonts w:cs="Times New Roman" w:hint="default"/>
      </w:rPr>
    </w:lvl>
    <w:lvl w:ilvl="3">
      <w:start w:val="1"/>
      <w:numFmt w:val="decimal"/>
      <w:lvlText w:val="%4."/>
      <w:lvlJc w:val="left"/>
      <w:pPr>
        <w:tabs>
          <w:tab w:val="num" w:pos="3588"/>
        </w:tabs>
        <w:ind w:left="3588" w:hanging="360"/>
      </w:pPr>
      <w:rPr>
        <w:rFonts w:cs="Times New Roman" w:hint="default"/>
      </w:rPr>
    </w:lvl>
    <w:lvl w:ilvl="4">
      <w:start w:val="1"/>
      <w:numFmt w:val="decimal"/>
      <w:lvlText w:val="%5."/>
      <w:lvlJc w:val="left"/>
      <w:pPr>
        <w:tabs>
          <w:tab w:val="num" w:pos="4308"/>
        </w:tabs>
        <w:ind w:left="4308" w:hanging="360"/>
      </w:pPr>
      <w:rPr>
        <w:rFonts w:cs="Times New Roman" w:hint="default"/>
      </w:rPr>
    </w:lvl>
    <w:lvl w:ilvl="5">
      <w:start w:val="1"/>
      <w:numFmt w:val="decimal"/>
      <w:lvlText w:val="%6."/>
      <w:lvlJc w:val="left"/>
      <w:pPr>
        <w:tabs>
          <w:tab w:val="num" w:pos="5028"/>
        </w:tabs>
        <w:ind w:left="5028" w:hanging="360"/>
      </w:pPr>
      <w:rPr>
        <w:rFonts w:cs="Times New Roman" w:hint="default"/>
      </w:rPr>
    </w:lvl>
    <w:lvl w:ilvl="6">
      <w:start w:val="1"/>
      <w:numFmt w:val="decimal"/>
      <w:lvlText w:val="%7."/>
      <w:lvlJc w:val="left"/>
      <w:pPr>
        <w:tabs>
          <w:tab w:val="num" w:pos="5748"/>
        </w:tabs>
        <w:ind w:left="5748" w:hanging="360"/>
      </w:pPr>
      <w:rPr>
        <w:rFonts w:cs="Times New Roman" w:hint="default"/>
      </w:rPr>
    </w:lvl>
    <w:lvl w:ilvl="7">
      <w:start w:val="1"/>
      <w:numFmt w:val="decimal"/>
      <w:lvlText w:val="%8."/>
      <w:lvlJc w:val="left"/>
      <w:pPr>
        <w:tabs>
          <w:tab w:val="num" w:pos="6468"/>
        </w:tabs>
        <w:ind w:left="6468" w:hanging="360"/>
      </w:pPr>
      <w:rPr>
        <w:rFonts w:cs="Times New Roman" w:hint="default"/>
      </w:rPr>
    </w:lvl>
    <w:lvl w:ilvl="8">
      <w:start w:val="1"/>
      <w:numFmt w:val="decimal"/>
      <w:lvlText w:val="%9."/>
      <w:lvlJc w:val="left"/>
      <w:pPr>
        <w:tabs>
          <w:tab w:val="num" w:pos="7188"/>
        </w:tabs>
        <w:ind w:left="7188" w:hanging="360"/>
      </w:pPr>
      <w:rPr>
        <w:rFonts w:cs="Times New Roman" w:hint="default"/>
      </w:rPr>
    </w:lvl>
  </w:abstractNum>
  <w:abstractNum w:abstractNumId="40">
    <w:nsid w:val="5E2A32A2"/>
    <w:multiLevelType w:val="hybridMultilevel"/>
    <w:tmpl w:val="3F564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28A2249"/>
    <w:multiLevelType w:val="hybridMultilevel"/>
    <w:tmpl w:val="15EECA9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50B1C81"/>
    <w:multiLevelType w:val="hybridMultilevel"/>
    <w:tmpl w:val="54A6B6E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BFD0A34"/>
    <w:multiLevelType w:val="hybridMultilevel"/>
    <w:tmpl w:val="4030E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CAC408F"/>
    <w:multiLevelType w:val="hybridMultilevel"/>
    <w:tmpl w:val="FD8EE6C4"/>
    <w:lvl w:ilvl="0" w:tplc="04150005">
      <w:start w:val="1"/>
      <w:numFmt w:val="bullet"/>
      <w:lvlText w:val=""/>
      <w:lvlJc w:val="left"/>
      <w:pPr>
        <w:tabs>
          <w:tab w:val="num" w:pos="1425"/>
        </w:tabs>
        <w:ind w:left="1425" w:hanging="360"/>
      </w:pPr>
      <w:rPr>
        <w:rFonts w:ascii="Wingdings" w:hAnsi="Wingding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45">
    <w:nsid w:val="709D764B"/>
    <w:multiLevelType w:val="hybridMultilevel"/>
    <w:tmpl w:val="4A9007A6"/>
    <w:lvl w:ilvl="0" w:tplc="D02222D2">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2766DED"/>
    <w:multiLevelType w:val="hybridMultilevel"/>
    <w:tmpl w:val="B4720DFE"/>
    <w:lvl w:ilvl="0" w:tplc="EA28A6CA">
      <w:start w:val="1"/>
      <w:numFmt w:val="upperLetter"/>
      <w:lvlText w:val="%1."/>
      <w:lvlJc w:val="left"/>
      <w:pPr>
        <w:ind w:left="36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59B7F76"/>
    <w:multiLevelType w:val="hybridMultilevel"/>
    <w:tmpl w:val="6F4662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7C5102C1"/>
    <w:multiLevelType w:val="hybridMultilevel"/>
    <w:tmpl w:val="4D261876"/>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9"/>
  </w:num>
  <w:num w:numId="2">
    <w:abstractNumId w:val="31"/>
  </w:num>
  <w:num w:numId="3">
    <w:abstractNumId w:val="7"/>
  </w:num>
  <w:num w:numId="4">
    <w:abstractNumId w:val="41"/>
  </w:num>
  <w:num w:numId="5">
    <w:abstractNumId w:val="42"/>
  </w:num>
  <w:num w:numId="6">
    <w:abstractNumId w:val="39"/>
  </w:num>
  <w:num w:numId="7">
    <w:abstractNumId w:val="14"/>
  </w:num>
  <w:num w:numId="8">
    <w:abstractNumId w:val="9"/>
  </w:num>
  <w:num w:numId="9">
    <w:abstractNumId w:val="20"/>
  </w:num>
  <w:num w:numId="10">
    <w:abstractNumId w:val="46"/>
  </w:num>
  <w:num w:numId="11">
    <w:abstractNumId w:val="4"/>
  </w:num>
  <w:num w:numId="12">
    <w:abstractNumId w:val="48"/>
  </w:num>
  <w:num w:numId="13">
    <w:abstractNumId w:val="38"/>
  </w:num>
  <w:num w:numId="14">
    <w:abstractNumId w:val="33"/>
  </w:num>
  <w:num w:numId="15">
    <w:abstractNumId w:val="8"/>
  </w:num>
  <w:num w:numId="16">
    <w:abstractNumId w:val="28"/>
  </w:num>
  <w:num w:numId="17">
    <w:abstractNumId w:val="13"/>
  </w:num>
  <w:num w:numId="18">
    <w:abstractNumId w:val="6"/>
  </w:num>
  <w:num w:numId="19">
    <w:abstractNumId w:val="18"/>
  </w:num>
  <w:num w:numId="20">
    <w:abstractNumId w:val="30"/>
  </w:num>
  <w:num w:numId="21">
    <w:abstractNumId w:val="44"/>
  </w:num>
  <w:num w:numId="22">
    <w:abstractNumId w:val="10"/>
  </w:num>
  <w:num w:numId="23">
    <w:abstractNumId w:val="23"/>
  </w:num>
  <w:num w:numId="24">
    <w:abstractNumId w:val="37"/>
  </w:num>
  <w:num w:numId="25">
    <w:abstractNumId w:val="45"/>
  </w:num>
  <w:num w:numId="26">
    <w:abstractNumId w:val="17"/>
  </w:num>
  <w:num w:numId="27">
    <w:abstractNumId w:val="27"/>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
  </w:num>
  <w:num w:numId="32">
    <w:abstractNumId w:val="25"/>
  </w:num>
  <w:num w:numId="33">
    <w:abstractNumId w:val="12"/>
  </w:num>
  <w:num w:numId="34">
    <w:abstractNumId w:val="21"/>
  </w:num>
  <w:num w:numId="35">
    <w:abstractNumId w:val="24"/>
  </w:num>
  <w:num w:numId="36">
    <w:abstractNumId w:val="32"/>
  </w:num>
  <w:num w:numId="37">
    <w:abstractNumId w:val="47"/>
  </w:num>
  <w:num w:numId="38">
    <w:abstractNumId w:val="26"/>
  </w:num>
  <w:num w:numId="39">
    <w:abstractNumId w:val="34"/>
  </w:num>
  <w:num w:numId="40">
    <w:abstractNumId w:val="5"/>
  </w:num>
  <w:num w:numId="41">
    <w:abstractNumId w:val="19"/>
  </w:num>
  <w:num w:numId="42">
    <w:abstractNumId w:val="35"/>
  </w:num>
  <w:num w:numId="43">
    <w:abstractNumId w:val="36"/>
  </w:num>
  <w:num w:numId="44">
    <w:abstractNumId w:val="11"/>
  </w:num>
  <w:num w:numId="45">
    <w:abstractNumId w:val="40"/>
  </w:num>
  <w:num w:numId="46">
    <w:abstractNumId w:val="15"/>
  </w:num>
  <w:num w:numId="47">
    <w:abstractNumId w:val="22"/>
  </w:num>
  <w:num w:numId="48">
    <w:abstractNumId w:val="16"/>
  </w:num>
  <w:num w:numId="49">
    <w:abstractNumId w:val="4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93"/>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A2"/>
    <w:rsid w:val="000125CE"/>
    <w:rsid w:val="00012BA2"/>
    <w:rsid w:val="00017A17"/>
    <w:rsid w:val="000231F4"/>
    <w:rsid w:val="000233B7"/>
    <w:rsid w:val="00025EC4"/>
    <w:rsid w:val="000474DC"/>
    <w:rsid w:val="00054528"/>
    <w:rsid w:val="0006312E"/>
    <w:rsid w:val="000672F7"/>
    <w:rsid w:val="00071752"/>
    <w:rsid w:val="00074E12"/>
    <w:rsid w:val="00086D14"/>
    <w:rsid w:val="000A2E54"/>
    <w:rsid w:val="000B4945"/>
    <w:rsid w:val="000B6BBE"/>
    <w:rsid w:val="000B6DD6"/>
    <w:rsid w:val="000D72E4"/>
    <w:rsid w:val="000E4340"/>
    <w:rsid w:val="000E766C"/>
    <w:rsid w:val="000F3208"/>
    <w:rsid w:val="000F7271"/>
    <w:rsid w:val="001022D7"/>
    <w:rsid w:val="00106287"/>
    <w:rsid w:val="00115DF8"/>
    <w:rsid w:val="00124299"/>
    <w:rsid w:val="00134293"/>
    <w:rsid w:val="0013591C"/>
    <w:rsid w:val="00142DC5"/>
    <w:rsid w:val="0016015B"/>
    <w:rsid w:val="00163DBB"/>
    <w:rsid w:val="00171246"/>
    <w:rsid w:val="00176463"/>
    <w:rsid w:val="00181E74"/>
    <w:rsid w:val="00192DFC"/>
    <w:rsid w:val="00195171"/>
    <w:rsid w:val="00195B2A"/>
    <w:rsid w:val="0019719B"/>
    <w:rsid w:val="001A498D"/>
    <w:rsid w:val="001B03B1"/>
    <w:rsid w:val="001C01AA"/>
    <w:rsid w:val="001C0FFE"/>
    <w:rsid w:val="001C11AF"/>
    <w:rsid w:val="001C526D"/>
    <w:rsid w:val="001C5B0C"/>
    <w:rsid w:val="001D0F52"/>
    <w:rsid w:val="001D50DC"/>
    <w:rsid w:val="001E6CCB"/>
    <w:rsid w:val="001F1C80"/>
    <w:rsid w:val="001F3D30"/>
    <w:rsid w:val="001F6853"/>
    <w:rsid w:val="001F68D4"/>
    <w:rsid w:val="002011A4"/>
    <w:rsid w:val="002242FE"/>
    <w:rsid w:val="00225D08"/>
    <w:rsid w:val="0025154D"/>
    <w:rsid w:val="00263A9E"/>
    <w:rsid w:val="002668E7"/>
    <w:rsid w:val="00266CE1"/>
    <w:rsid w:val="00267D1C"/>
    <w:rsid w:val="002720FC"/>
    <w:rsid w:val="00273EE5"/>
    <w:rsid w:val="00284F43"/>
    <w:rsid w:val="00295D80"/>
    <w:rsid w:val="002960D5"/>
    <w:rsid w:val="002A0B6B"/>
    <w:rsid w:val="002A7BA0"/>
    <w:rsid w:val="002B42B0"/>
    <w:rsid w:val="002B6C54"/>
    <w:rsid w:val="002C5DCC"/>
    <w:rsid w:val="002D7653"/>
    <w:rsid w:val="002E096A"/>
    <w:rsid w:val="00300563"/>
    <w:rsid w:val="00303B30"/>
    <w:rsid w:val="00304374"/>
    <w:rsid w:val="00305749"/>
    <w:rsid w:val="00312030"/>
    <w:rsid w:val="003122A7"/>
    <w:rsid w:val="003217B0"/>
    <w:rsid w:val="00323239"/>
    <w:rsid w:val="00324F49"/>
    <w:rsid w:val="00327777"/>
    <w:rsid w:val="00332F63"/>
    <w:rsid w:val="003342F6"/>
    <w:rsid w:val="00344379"/>
    <w:rsid w:val="00351E62"/>
    <w:rsid w:val="0035227E"/>
    <w:rsid w:val="00352A76"/>
    <w:rsid w:val="0035686D"/>
    <w:rsid w:val="00357665"/>
    <w:rsid w:val="00366D7D"/>
    <w:rsid w:val="00371757"/>
    <w:rsid w:val="00385077"/>
    <w:rsid w:val="003855B8"/>
    <w:rsid w:val="003924FE"/>
    <w:rsid w:val="003A7F11"/>
    <w:rsid w:val="003B1A87"/>
    <w:rsid w:val="003B28FB"/>
    <w:rsid w:val="003C05C8"/>
    <w:rsid w:val="003C5892"/>
    <w:rsid w:val="003E1A00"/>
    <w:rsid w:val="003E6413"/>
    <w:rsid w:val="003E78BE"/>
    <w:rsid w:val="003F0BA3"/>
    <w:rsid w:val="003F3ECF"/>
    <w:rsid w:val="003F4079"/>
    <w:rsid w:val="003F6941"/>
    <w:rsid w:val="00402B48"/>
    <w:rsid w:val="00411C60"/>
    <w:rsid w:val="0042430B"/>
    <w:rsid w:val="004259BD"/>
    <w:rsid w:val="0043629C"/>
    <w:rsid w:val="0043686B"/>
    <w:rsid w:val="00443864"/>
    <w:rsid w:val="00457BC0"/>
    <w:rsid w:val="0048111F"/>
    <w:rsid w:val="004857A7"/>
    <w:rsid w:val="004914EA"/>
    <w:rsid w:val="00493A0B"/>
    <w:rsid w:val="0049612A"/>
    <w:rsid w:val="00497972"/>
    <w:rsid w:val="004A07C3"/>
    <w:rsid w:val="004A16C3"/>
    <w:rsid w:val="004A2DB8"/>
    <w:rsid w:val="004A44C3"/>
    <w:rsid w:val="004B778E"/>
    <w:rsid w:val="004C050C"/>
    <w:rsid w:val="004C5C7F"/>
    <w:rsid w:val="004C64CA"/>
    <w:rsid w:val="004D7BB5"/>
    <w:rsid w:val="004E2EA2"/>
    <w:rsid w:val="004E6B52"/>
    <w:rsid w:val="004E7B20"/>
    <w:rsid w:val="004F04DE"/>
    <w:rsid w:val="004F10DF"/>
    <w:rsid w:val="004F3253"/>
    <w:rsid w:val="004F5B3D"/>
    <w:rsid w:val="00500BE5"/>
    <w:rsid w:val="00504689"/>
    <w:rsid w:val="005115F5"/>
    <w:rsid w:val="00513FD2"/>
    <w:rsid w:val="00515358"/>
    <w:rsid w:val="0051655A"/>
    <w:rsid w:val="00517CE4"/>
    <w:rsid w:val="00522629"/>
    <w:rsid w:val="00523A3E"/>
    <w:rsid w:val="00526A42"/>
    <w:rsid w:val="0054273F"/>
    <w:rsid w:val="00557296"/>
    <w:rsid w:val="00557D3A"/>
    <w:rsid w:val="00560364"/>
    <w:rsid w:val="005614C4"/>
    <w:rsid w:val="0056350B"/>
    <w:rsid w:val="005716F6"/>
    <w:rsid w:val="00574A21"/>
    <w:rsid w:val="00581B75"/>
    <w:rsid w:val="005910E5"/>
    <w:rsid w:val="00596B0C"/>
    <w:rsid w:val="005A221B"/>
    <w:rsid w:val="005A4372"/>
    <w:rsid w:val="005A6A3A"/>
    <w:rsid w:val="005B03FA"/>
    <w:rsid w:val="005B3AEB"/>
    <w:rsid w:val="005B5319"/>
    <w:rsid w:val="005C6888"/>
    <w:rsid w:val="005D0056"/>
    <w:rsid w:val="005D120B"/>
    <w:rsid w:val="005E2532"/>
    <w:rsid w:val="005E2651"/>
    <w:rsid w:val="005E2F36"/>
    <w:rsid w:val="005E4BCA"/>
    <w:rsid w:val="005F0292"/>
    <w:rsid w:val="005F2C00"/>
    <w:rsid w:val="006001EC"/>
    <w:rsid w:val="00600581"/>
    <w:rsid w:val="0060448B"/>
    <w:rsid w:val="006064EE"/>
    <w:rsid w:val="00606B8B"/>
    <w:rsid w:val="00612C06"/>
    <w:rsid w:val="00617176"/>
    <w:rsid w:val="006227DB"/>
    <w:rsid w:val="006263FC"/>
    <w:rsid w:val="00637CAD"/>
    <w:rsid w:val="0064142A"/>
    <w:rsid w:val="00646A7A"/>
    <w:rsid w:val="00646FE7"/>
    <w:rsid w:val="00650953"/>
    <w:rsid w:val="0065238B"/>
    <w:rsid w:val="00652C7B"/>
    <w:rsid w:val="00663D6E"/>
    <w:rsid w:val="00671448"/>
    <w:rsid w:val="006800FC"/>
    <w:rsid w:val="00681A0F"/>
    <w:rsid w:val="00684744"/>
    <w:rsid w:val="00695B24"/>
    <w:rsid w:val="006A1736"/>
    <w:rsid w:val="006A6BBB"/>
    <w:rsid w:val="006C1E13"/>
    <w:rsid w:val="006D5D58"/>
    <w:rsid w:val="006F2744"/>
    <w:rsid w:val="006F313D"/>
    <w:rsid w:val="006F5B26"/>
    <w:rsid w:val="006F64AA"/>
    <w:rsid w:val="006F6514"/>
    <w:rsid w:val="006F783C"/>
    <w:rsid w:val="00704810"/>
    <w:rsid w:val="00705DB9"/>
    <w:rsid w:val="007113E2"/>
    <w:rsid w:val="00712EB6"/>
    <w:rsid w:val="00715600"/>
    <w:rsid w:val="007352E0"/>
    <w:rsid w:val="007504E2"/>
    <w:rsid w:val="007654B2"/>
    <w:rsid w:val="0077148A"/>
    <w:rsid w:val="0077412E"/>
    <w:rsid w:val="00774546"/>
    <w:rsid w:val="00776152"/>
    <w:rsid w:val="0077723C"/>
    <w:rsid w:val="00782E41"/>
    <w:rsid w:val="00783856"/>
    <w:rsid w:val="00792532"/>
    <w:rsid w:val="0079431B"/>
    <w:rsid w:val="007966C6"/>
    <w:rsid w:val="00797DF8"/>
    <w:rsid w:val="007A7F37"/>
    <w:rsid w:val="007B54FE"/>
    <w:rsid w:val="007B5A95"/>
    <w:rsid w:val="007D3CCE"/>
    <w:rsid w:val="007E25F4"/>
    <w:rsid w:val="007E4A50"/>
    <w:rsid w:val="007E6957"/>
    <w:rsid w:val="007F301A"/>
    <w:rsid w:val="00802E1A"/>
    <w:rsid w:val="00803325"/>
    <w:rsid w:val="00804775"/>
    <w:rsid w:val="00806670"/>
    <w:rsid w:val="00812609"/>
    <w:rsid w:val="008276BC"/>
    <w:rsid w:val="0083169D"/>
    <w:rsid w:val="00841CE3"/>
    <w:rsid w:val="00842E35"/>
    <w:rsid w:val="008469CE"/>
    <w:rsid w:val="00852AFF"/>
    <w:rsid w:val="00853FFC"/>
    <w:rsid w:val="00870794"/>
    <w:rsid w:val="00874633"/>
    <w:rsid w:val="00886EFF"/>
    <w:rsid w:val="0089017F"/>
    <w:rsid w:val="008945CD"/>
    <w:rsid w:val="0089584E"/>
    <w:rsid w:val="00896C32"/>
    <w:rsid w:val="00897943"/>
    <w:rsid w:val="008A3559"/>
    <w:rsid w:val="008A4B16"/>
    <w:rsid w:val="008B1D24"/>
    <w:rsid w:val="008B3773"/>
    <w:rsid w:val="008D0696"/>
    <w:rsid w:val="008D5078"/>
    <w:rsid w:val="008E0E1D"/>
    <w:rsid w:val="008E33CD"/>
    <w:rsid w:val="0090097D"/>
    <w:rsid w:val="009064AD"/>
    <w:rsid w:val="00914452"/>
    <w:rsid w:val="00917956"/>
    <w:rsid w:val="00925731"/>
    <w:rsid w:val="0093485D"/>
    <w:rsid w:val="00934A0B"/>
    <w:rsid w:val="00934A65"/>
    <w:rsid w:val="0093593E"/>
    <w:rsid w:val="00940EA9"/>
    <w:rsid w:val="009521CB"/>
    <w:rsid w:val="00972BBC"/>
    <w:rsid w:val="0097346E"/>
    <w:rsid w:val="00976E0D"/>
    <w:rsid w:val="00985CAE"/>
    <w:rsid w:val="00987429"/>
    <w:rsid w:val="00993B31"/>
    <w:rsid w:val="009947F2"/>
    <w:rsid w:val="00997173"/>
    <w:rsid w:val="009B1A4E"/>
    <w:rsid w:val="009B205E"/>
    <w:rsid w:val="009C1EF5"/>
    <w:rsid w:val="009C76C4"/>
    <w:rsid w:val="009D616C"/>
    <w:rsid w:val="009D6EAA"/>
    <w:rsid w:val="009E337E"/>
    <w:rsid w:val="009F0D31"/>
    <w:rsid w:val="009F450A"/>
    <w:rsid w:val="00A15E70"/>
    <w:rsid w:val="00A238FD"/>
    <w:rsid w:val="00A41ACB"/>
    <w:rsid w:val="00A42DA4"/>
    <w:rsid w:val="00A44C51"/>
    <w:rsid w:val="00A4708A"/>
    <w:rsid w:val="00A5058F"/>
    <w:rsid w:val="00A55476"/>
    <w:rsid w:val="00A5589A"/>
    <w:rsid w:val="00A610E1"/>
    <w:rsid w:val="00A62ABC"/>
    <w:rsid w:val="00A75273"/>
    <w:rsid w:val="00A87D50"/>
    <w:rsid w:val="00AB1CD1"/>
    <w:rsid w:val="00AD6FB8"/>
    <w:rsid w:val="00AE0A57"/>
    <w:rsid w:val="00AE1C5F"/>
    <w:rsid w:val="00AE2B32"/>
    <w:rsid w:val="00AE5A2B"/>
    <w:rsid w:val="00AE73EB"/>
    <w:rsid w:val="00AF0F11"/>
    <w:rsid w:val="00AF14A7"/>
    <w:rsid w:val="00AF1DC7"/>
    <w:rsid w:val="00AF232F"/>
    <w:rsid w:val="00B00944"/>
    <w:rsid w:val="00B0145E"/>
    <w:rsid w:val="00B025D8"/>
    <w:rsid w:val="00B06A86"/>
    <w:rsid w:val="00B070D1"/>
    <w:rsid w:val="00B07302"/>
    <w:rsid w:val="00B10A3A"/>
    <w:rsid w:val="00B25E24"/>
    <w:rsid w:val="00B33104"/>
    <w:rsid w:val="00B3660D"/>
    <w:rsid w:val="00B43448"/>
    <w:rsid w:val="00B43B1A"/>
    <w:rsid w:val="00B538EC"/>
    <w:rsid w:val="00B53D6D"/>
    <w:rsid w:val="00B554F0"/>
    <w:rsid w:val="00B57215"/>
    <w:rsid w:val="00B61471"/>
    <w:rsid w:val="00B63583"/>
    <w:rsid w:val="00B73DB5"/>
    <w:rsid w:val="00B87961"/>
    <w:rsid w:val="00B940F6"/>
    <w:rsid w:val="00B9533D"/>
    <w:rsid w:val="00B95DB5"/>
    <w:rsid w:val="00BA4B05"/>
    <w:rsid w:val="00BB22EC"/>
    <w:rsid w:val="00BB7C4C"/>
    <w:rsid w:val="00BC0579"/>
    <w:rsid w:val="00BC5ABF"/>
    <w:rsid w:val="00BD0B91"/>
    <w:rsid w:val="00BD1FB5"/>
    <w:rsid w:val="00BD2457"/>
    <w:rsid w:val="00BD6A35"/>
    <w:rsid w:val="00BE2635"/>
    <w:rsid w:val="00BE2956"/>
    <w:rsid w:val="00BE468E"/>
    <w:rsid w:val="00BF2E8B"/>
    <w:rsid w:val="00BF6D46"/>
    <w:rsid w:val="00C00969"/>
    <w:rsid w:val="00C17592"/>
    <w:rsid w:val="00C40A42"/>
    <w:rsid w:val="00C64478"/>
    <w:rsid w:val="00C67BA2"/>
    <w:rsid w:val="00C73571"/>
    <w:rsid w:val="00C86BBD"/>
    <w:rsid w:val="00C878F1"/>
    <w:rsid w:val="00C907AB"/>
    <w:rsid w:val="00CA4622"/>
    <w:rsid w:val="00CA7F41"/>
    <w:rsid w:val="00CB1D84"/>
    <w:rsid w:val="00CD2328"/>
    <w:rsid w:val="00CE0E92"/>
    <w:rsid w:val="00CE58EB"/>
    <w:rsid w:val="00CF4E4B"/>
    <w:rsid w:val="00CF62BB"/>
    <w:rsid w:val="00CF666D"/>
    <w:rsid w:val="00D00883"/>
    <w:rsid w:val="00D074EE"/>
    <w:rsid w:val="00D1305E"/>
    <w:rsid w:val="00D14C1D"/>
    <w:rsid w:val="00D241C5"/>
    <w:rsid w:val="00D422D5"/>
    <w:rsid w:val="00D53E03"/>
    <w:rsid w:val="00D60C7C"/>
    <w:rsid w:val="00D6331C"/>
    <w:rsid w:val="00D65AD8"/>
    <w:rsid w:val="00D711FD"/>
    <w:rsid w:val="00D760EA"/>
    <w:rsid w:val="00D76CCB"/>
    <w:rsid w:val="00D828CA"/>
    <w:rsid w:val="00D931E2"/>
    <w:rsid w:val="00D944F3"/>
    <w:rsid w:val="00DA1039"/>
    <w:rsid w:val="00DB03FA"/>
    <w:rsid w:val="00DC0B52"/>
    <w:rsid w:val="00DC7E81"/>
    <w:rsid w:val="00DD028C"/>
    <w:rsid w:val="00DD5083"/>
    <w:rsid w:val="00E004F4"/>
    <w:rsid w:val="00E00D33"/>
    <w:rsid w:val="00E046FA"/>
    <w:rsid w:val="00E11A75"/>
    <w:rsid w:val="00E131FC"/>
    <w:rsid w:val="00E150EB"/>
    <w:rsid w:val="00E17F03"/>
    <w:rsid w:val="00E22ECB"/>
    <w:rsid w:val="00E27DE8"/>
    <w:rsid w:val="00E34428"/>
    <w:rsid w:val="00E3473F"/>
    <w:rsid w:val="00E53E21"/>
    <w:rsid w:val="00E76EE4"/>
    <w:rsid w:val="00E828BC"/>
    <w:rsid w:val="00E92787"/>
    <w:rsid w:val="00E946D7"/>
    <w:rsid w:val="00E95948"/>
    <w:rsid w:val="00E95E36"/>
    <w:rsid w:val="00E961AB"/>
    <w:rsid w:val="00E96272"/>
    <w:rsid w:val="00EA0AB6"/>
    <w:rsid w:val="00EB1ADB"/>
    <w:rsid w:val="00EB1C66"/>
    <w:rsid w:val="00EB711A"/>
    <w:rsid w:val="00EC1080"/>
    <w:rsid w:val="00EC2F9A"/>
    <w:rsid w:val="00EC5611"/>
    <w:rsid w:val="00EC7A3D"/>
    <w:rsid w:val="00ED358D"/>
    <w:rsid w:val="00ED3FDA"/>
    <w:rsid w:val="00ED6C6A"/>
    <w:rsid w:val="00EE0E40"/>
    <w:rsid w:val="00EE146E"/>
    <w:rsid w:val="00EE2583"/>
    <w:rsid w:val="00EE2799"/>
    <w:rsid w:val="00EE5DDB"/>
    <w:rsid w:val="00EE6660"/>
    <w:rsid w:val="00EF1EC7"/>
    <w:rsid w:val="00F0314C"/>
    <w:rsid w:val="00F03B37"/>
    <w:rsid w:val="00F05EAE"/>
    <w:rsid w:val="00F0684F"/>
    <w:rsid w:val="00F12968"/>
    <w:rsid w:val="00F2078F"/>
    <w:rsid w:val="00F20CC1"/>
    <w:rsid w:val="00F21A06"/>
    <w:rsid w:val="00F21FA5"/>
    <w:rsid w:val="00F3670F"/>
    <w:rsid w:val="00F67622"/>
    <w:rsid w:val="00F67C03"/>
    <w:rsid w:val="00F94EB9"/>
    <w:rsid w:val="00F97D12"/>
    <w:rsid w:val="00FA39E0"/>
    <w:rsid w:val="00FB136D"/>
    <w:rsid w:val="00FB74CD"/>
    <w:rsid w:val="00FB7706"/>
    <w:rsid w:val="00FC3B37"/>
    <w:rsid w:val="00FC4DBD"/>
    <w:rsid w:val="00FD7A94"/>
    <w:rsid w:val="00FE48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C67BA2"/>
    <w:rPr>
      <w:sz w:val="24"/>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E2B32"/>
    <w:pPr>
      <w:spacing w:after="200" w:line="276" w:lineRule="auto"/>
      <w:ind w:left="720"/>
      <w:contextualSpacing/>
    </w:pPr>
    <w:rPr>
      <w:rFonts w:ascii="Calibri" w:hAnsi="Calibri"/>
      <w:sz w:val="22"/>
      <w:szCs w:val="22"/>
    </w:rPr>
  </w:style>
  <w:style w:type="table" w:styleId="Tabela-Siatka">
    <w:name w:val="Table Grid"/>
    <w:basedOn w:val="Standardowy"/>
    <w:uiPriority w:val="99"/>
    <w:rsid w:val="00AE2B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97972"/>
    <w:pPr>
      <w:tabs>
        <w:tab w:val="center" w:pos="4536"/>
        <w:tab w:val="right" w:pos="9072"/>
      </w:tabs>
    </w:pPr>
  </w:style>
  <w:style w:type="character" w:customStyle="1" w:styleId="NagwekZnak">
    <w:name w:val="Nagłówek Znak"/>
    <w:basedOn w:val="Domylnaczcionkaakapitu"/>
    <w:link w:val="Nagwek"/>
    <w:uiPriority w:val="99"/>
    <w:locked/>
    <w:rsid w:val="00497972"/>
    <w:rPr>
      <w:rFonts w:eastAsia="Times New Roman" w:cs="Times New Roman"/>
      <w:sz w:val="24"/>
      <w:lang w:eastAsia="en-US"/>
    </w:rPr>
  </w:style>
  <w:style w:type="paragraph" w:styleId="Stopka">
    <w:name w:val="footer"/>
    <w:basedOn w:val="Normalny"/>
    <w:link w:val="StopkaZnak"/>
    <w:uiPriority w:val="99"/>
    <w:rsid w:val="00497972"/>
    <w:pPr>
      <w:tabs>
        <w:tab w:val="center" w:pos="4536"/>
        <w:tab w:val="right" w:pos="9072"/>
      </w:tabs>
    </w:pPr>
  </w:style>
  <w:style w:type="character" w:customStyle="1" w:styleId="StopkaZnak">
    <w:name w:val="Stopka Znak"/>
    <w:basedOn w:val="Domylnaczcionkaakapitu"/>
    <w:link w:val="Stopka"/>
    <w:uiPriority w:val="99"/>
    <w:locked/>
    <w:rsid w:val="00497972"/>
    <w:rPr>
      <w:rFonts w:eastAsia="Times New Roman" w:cs="Times New Roman"/>
      <w:sz w:val="24"/>
      <w:lang w:eastAsia="en-US"/>
    </w:rPr>
  </w:style>
  <w:style w:type="character" w:styleId="Odwoaniedokomentarza">
    <w:name w:val="annotation reference"/>
    <w:basedOn w:val="Domylnaczcionkaakapitu"/>
    <w:uiPriority w:val="99"/>
    <w:rsid w:val="00A41ACB"/>
    <w:rPr>
      <w:rFonts w:cs="Times New Roman"/>
      <w:sz w:val="16"/>
    </w:rPr>
  </w:style>
  <w:style w:type="paragraph" w:styleId="Tekstkomentarza">
    <w:name w:val="annotation text"/>
    <w:basedOn w:val="Normalny"/>
    <w:link w:val="TekstkomentarzaZnak"/>
    <w:uiPriority w:val="99"/>
    <w:rsid w:val="00A41ACB"/>
    <w:rPr>
      <w:sz w:val="20"/>
    </w:rPr>
  </w:style>
  <w:style w:type="character" w:customStyle="1" w:styleId="TekstkomentarzaZnak">
    <w:name w:val="Tekst komentarza Znak"/>
    <w:basedOn w:val="Domylnaczcionkaakapitu"/>
    <w:link w:val="Tekstkomentarza"/>
    <w:uiPriority w:val="99"/>
    <w:locked/>
    <w:rsid w:val="00A41ACB"/>
    <w:rPr>
      <w:rFonts w:eastAsia="Times New Roman" w:cs="Times New Roman"/>
      <w:lang w:eastAsia="en-US"/>
    </w:rPr>
  </w:style>
  <w:style w:type="paragraph" w:styleId="Tematkomentarza">
    <w:name w:val="annotation subject"/>
    <w:basedOn w:val="Tekstkomentarza"/>
    <w:next w:val="Tekstkomentarza"/>
    <w:link w:val="TematkomentarzaZnak"/>
    <w:uiPriority w:val="99"/>
    <w:rsid w:val="00A41ACB"/>
    <w:rPr>
      <w:b/>
    </w:rPr>
  </w:style>
  <w:style w:type="character" w:customStyle="1" w:styleId="TematkomentarzaZnak">
    <w:name w:val="Temat komentarza Znak"/>
    <w:basedOn w:val="TekstkomentarzaZnak"/>
    <w:link w:val="Tematkomentarza"/>
    <w:uiPriority w:val="99"/>
    <w:locked/>
    <w:rsid w:val="00A41ACB"/>
    <w:rPr>
      <w:rFonts w:eastAsia="Times New Roman" w:cs="Times New Roman"/>
      <w:b/>
      <w:lang w:eastAsia="en-US"/>
    </w:rPr>
  </w:style>
  <w:style w:type="paragraph" w:styleId="Tekstdymka">
    <w:name w:val="Balloon Text"/>
    <w:basedOn w:val="Normalny"/>
    <w:link w:val="TekstdymkaZnak"/>
    <w:uiPriority w:val="99"/>
    <w:rsid w:val="00A41ACB"/>
    <w:rPr>
      <w:rFonts w:ascii="Tahoma" w:hAnsi="Tahoma"/>
      <w:sz w:val="16"/>
    </w:rPr>
  </w:style>
  <w:style w:type="character" w:customStyle="1" w:styleId="TekstdymkaZnak">
    <w:name w:val="Tekst dymka Znak"/>
    <w:basedOn w:val="Domylnaczcionkaakapitu"/>
    <w:link w:val="Tekstdymka"/>
    <w:uiPriority w:val="99"/>
    <w:locked/>
    <w:rsid w:val="00A41ACB"/>
    <w:rPr>
      <w:rFonts w:ascii="Tahoma" w:hAnsi="Tahoma" w:cs="Times New Roman"/>
      <w:sz w:val="16"/>
      <w:lang w:eastAsia="en-US"/>
    </w:rPr>
  </w:style>
  <w:style w:type="table" w:customStyle="1" w:styleId="Tabela-Siatka1">
    <w:name w:val="Tabela - Siatka1"/>
    <w:uiPriority w:val="99"/>
    <w:rsid w:val="00EC1080"/>
    <w:pPr>
      <w:widowControl w:val="0"/>
    </w:pPr>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BB22EC"/>
    <w:pPr>
      <w:widowControl w:val="0"/>
    </w:pPr>
    <w:rPr>
      <w:rFonts w:ascii="Calibri" w:hAnsi="Calibri"/>
      <w:lang w:val="en-US" w:eastAsia="en-US"/>
    </w:rPr>
    <w:tblPr>
      <w:tblInd w:w="0" w:type="dxa"/>
      <w:tblCellMar>
        <w:top w:w="0" w:type="dxa"/>
        <w:left w:w="0" w:type="dxa"/>
        <w:bottom w:w="0" w:type="dxa"/>
        <w:right w:w="0" w:type="dxa"/>
      </w:tblCellMar>
    </w:tblPr>
  </w:style>
  <w:style w:type="table" w:customStyle="1" w:styleId="Tabela-Siatka2">
    <w:name w:val="Tabela - Siatka2"/>
    <w:uiPriority w:val="99"/>
    <w:rsid w:val="00BB22EC"/>
    <w:pPr>
      <w:widowControl w:val="0"/>
    </w:pPr>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Tekst przypisu,Footnote,Podrozdzia3,-E Fuﬂnotentext,Fuﬂnotentext Ursprung,Fußnotentext Ursprung,-E Fußnotentext,Footnote text,Tekst przypisu Znak Znak Znak Znak,Fußnote,fn,o"/>
    <w:basedOn w:val="Normalny"/>
    <w:link w:val="TekstprzypisudolnegoZnak"/>
    <w:uiPriority w:val="99"/>
    <w:rsid w:val="00457BC0"/>
    <w:rPr>
      <w:sz w:val="20"/>
      <w:lang w:eastAsia="pl-PL"/>
    </w:rPr>
  </w:style>
  <w:style w:type="character" w:customStyle="1" w:styleId="TekstprzypisudolnegoZnak">
    <w:name w:val="Tekst przypisu dolnego Znak"/>
    <w:aliases w:val="Podrozdział Znak,Tekst przypisu Znak,Footnote Znak,Podrozdzia3 Znak,-E Fuﬂnotentext Znak,Fuﬂnotentext Ursprung Znak,Fußnotentext Ursprung Znak,-E Fußnotentext Znak,Footnote text Znak,Tekst przypisu Znak Znak Znak Znak Znak"/>
    <w:basedOn w:val="Domylnaczcionkaakapitu"/>
    <w:link w:val="Tekstprzypisudolnego"/>
    <w:uiPriority w:val="99"/>
    <w:locked/>
    <w:rsid w:val="00457BC0"/>
    <w:rPr>
      <w:rFonts w:cs="Times New Roman"/>
    </w:rPr>
  </w:style>
  <w:style w:type="character" w:styleId="Odwoanieprzypisudolnego">
    <w:name w:val="footnote reference"/>
    <w:aliases w:val="Footnote Reference Number,Odwołanie przypisu,Footnote symbol,Footnote reference number,note TESI,SUPERS,EN Footnote Reference,Footnote Reference_LVL6,Footnote Reference_LVL61,Footnote Reference_LVL62,Footnote Reference_LVL63"/>
    <w:basedOn w:val="Domylnaczcionkaakapitu"/>
    <w:uiPriority w:val="99"/>
    <w:rsid w:val="00457BC0"/>
    <w:rPr>
      <w:rFonts w:cs="Times New Roman"/>
      <w:vertAlign w:val="superscript"/>
    </w:rPr>
  </w:style>
  <w:style w:type="paragraph" w:styleId="Tekstprzypisukocowego">
    <w:name w:val="endnote text"/>
    <w:basedOn w:val="Normalny"/>
    <w:link w:val="TekstprzypisukocowegoZnak"/>
    <w:uiPriority w:val="99"/>
    <w:rsid w:val="009064AD"/>
    <w:rPr>
      <w:sz w:val="20"/>
    </w:rPr>
  </w:style>
  <w:style w:type="character" w:customStyle="1" w:styleId="TekstprzypisukocowegoZnak">
    <w:name w:val="Tekst przypisu końcowego Znak"/>
    <w:basedOn w:val="Domylnaczcionkaakapitu"/>
    <w:link w:val="Tekstprzypisukocowego"/>
    <w:uiPriority w:val="99"/>
    <w:locked/>
    <w:rsid w:val="009064AD"/>
    <w:rPr>
      <w:rFonts w:eastAsia="Times New Roman" w:cs="Times New Roman"/>
      <w:lang w:eastAsia="en-US"/>
    </w:rPr>
  </w:style>
  <w:style w:type="character" w:styleId="Odwoanieprzypisukocowego">
    <w:name w:val="endnote reference"/>
    <w:basedOn w:val="Domylnaczcionkaakapitu"/>
    <w:uiPriority w:val="99"/>
    <w:rsid w:val="009064AD"/>
    <w:rPr>
      <w:rFonts w:cs="Times New Roman"/>
      <w:vertAlign w:val="superscript"/>
    </w:rPr>
  </w:style>
  <w:style w:type="character" w:styleId="Hipercze">
    <w:name w:val="Hyperlink"/>
    <w:basedOn w:val="Domylnaczcionkaakapitu"/>
    <w:uiPriority w:val="99"/>
    <w:locked/>
    <w:rsid w:val="000231F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C67BA2"/>
    <w:rPr>
      <w:sz w:val="24"/>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E2B32"/>
    <w:pPr>
      <w:spacing w:after="200" w:line="276" w:lineRule="auto"/>
      <w:ind w:left="720"/>
      <w:contextualSpacing/>
    </w:pPr>
    <w:rPr>
      <w:rFonts w:ascii="Calibri" w:hAnsi="Calibri"/>
      <w:sz w:val="22"/>
      <w:szCs w:val="22"/>
    </w:rPr>
  </w:style>
  <w:style w:type="table" w:styleId="Tabela-Siatka">
    <w:name w:val="Table Grid"/>
    <w:basedOn w:val="Standardowy"/>
    <w:uiPriority w:val="99"/>
    <w:rsid w:val="00AE2B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97972"/>
    <w:pPr>
      <w:tabs>
        <w:tab w:val="center" w:pos="4536"/>
        <w:tab w:val="right" w:pos="9072"/>
      </w:tabs>
    </w:pPr>
  </w:style>
  <w:style w:type="character" w:customStyle="1" w:styleId="NagwekZnak">
    <w:name w:val="Nagłówek Znak"/>
    <w:basedOn w:val="Domylnaczcionkaakapitu"/>
    <w:link w:val="Nagwek"/>
    <w:uiPriority w:val="99"/>
    <w:locked/>
    <w:rsid w:val="00497972"/>
    <w:rPr>
      <w:rFonts w:eastAsia="Times New Roman" w:cs="Times New Roman"/>
      <w:sz w:val="24"/>
      <w:lang w:eastAsia="en-US"/>
    </w:rPr>
  </w:style>
  <w:style w:type="paragraph" w:styleId="Stopka">
    <w:name w:val="footer"/>
    <w:basedOn w:val="Normalny"/>
    <w:link w:val="StopkaZnak"/>
    <w:uiPriority w:val="99"/>
    <w:rsid w:val="00497972"/>
    <w:pPr>
      <w:tabs>
        <w:tab w:val="center" w:pos="4536"/>
        <w:tab w:val="right" w:pos="9072"/>
      </w:tabs>
    </w:pPr>
  </w:style>
  <w:style w:type="character" w:customStyle="1" w:styleId="StopkaZnak">
    <w:name w:val="Stopka Znak"/>
    <w:basedOn w:val="Domylnaczcionkaakapitu"/>
    <w:link w:val="Stopka"/>
    <w:uiPriority w:val="99"/>
    <w:locked/>
    <w:rsid w:val="00497972"/>
    <w:rPr>
      <w:rFonts w:eastAsia="Times New Roman" w:cs="Times New Roman"/>
      <w:sz w:val="24"/>
      <w:lang w:eastAsia="en-US"/>
    </w:rPr>
  </w:style>
  <w:style w:type="character" w:styleId="Odwoaniedokomentarza">
    <w:name w:val="annotation reference"/>
    <w:basedOn w:val="Domylnaczcionkaakapitu"/>
    <w:uiPriority w:val="99"/>
    <w:rsid w:val="00A41ACB"/>
    <w:rPr>
      <w:rFonts w:cs="Times New Roman"/>
      <w:sz w:val="16"/>
    </w:rPr>
  </w:style>
  <w:style w:type="paragraph" w:styleId="Tekstkomentarza">
    <w:name w:val="annotation text"/>
    <w:basedOn w:val="Normalny"/>
    <w:link w:val="TekstkomentarzaZnak"/>
    <w:uiPriority w:val="99"/>
    <w:rsid w:val="00A41ACB"/>
    <w:rPr>
      <w:sz w:val="20"/>
    </w:rPr>
  </w:style>
  <w:style w:type="character" w:customStyle="1" w:styleId="TekstkomentarzaZnak">
    <w:name w:val="Tekst komentarza Znak"/>
    <w:basedOn w:val="Domylnaczcionkaakapitu"/>
    <w:link w:val="Tekstkomentarza"/>
    <w:uiPriority w:val="99"/>
    <w:locked/>
    <w:rsid w:val="00A41ACB"/>
    <w:rPr>
      <w:rFonts w:eastAsia="Times New Roman" w:cs="Times New Roman"/>
      <w:lang w:eastAsia="en-US"/>
    </w:rPr>
  </w:style>
  <w:style w:type="paragraph" w:styleId="Tematkomentarza">
    <w:name w:val="annotation subject"/>
    <w:basedOn w:val="Tekstkomentarza"/>
    <w:next w:val="Tekstkomentarza"/>
    <w:link w:val="TematkomentarzaZnak"/>
    <w:uiPriority w:val="99"/>
    <w:rsid w:val="00A41ACB"/>
    <w:rPr>
      <w:b/>
    </w:rPr>
  </w:style>
  <w:style w:type="character" w:customStyle="1" w:styleId="TematkomentarzaZnak">
    <w:name w:val="Temat komentarza Znak"/>
    <w:basedOn w:val="TekstkomentarzaZnak"/>
    <w:link w:val="Tematkomentarza"/>
    <w:uiPriority w:val="99"/>
    <w:locked/>
    <w:rsid w:val="00A41ACB"/>
    <w:rPr>
      <w:rFonts w:eastAsia="Times New Roman" w:cs="Times New Roman"/>
      <w:b/>
      <w:lang w:eastAsia="en-US"/>
    </w:rPr>
  </w:style>
  <w:style w:type="paragraph" w:styleId="Tekstdymka">
    <w:name w:val="Balloon Text"/>
    <w:basedOn w:val="Normalny"/>
    <w:link w:val="TekstdymkaZnak"/>
    <w:uiPriority w:val="99"/>
    <w:rsid w:val="00A41ACB"/>
    <w:rPr>
      <w:rFonts w:ascii="Tahoma" w:hAnsi="Tahoma"/>
      <w:sz w:val="16"/>
    </w:rPr>
  </w:style>
  <w:style w:type="character" w:customStyle="1" w:styleId="TekstdymkaZnak">
    <w:name w:val="Tekst dymka Znak"/>
    <w:basedOn w:val="Domylnaczcionkaakapitu"/>
    <w:link w:val="Tekstdymka"/>
    <w:uiPriority w:val="99"/>
    <w:locked/>
    <w:rsid w:val="00A41ACB"/>
    <w:rPr>
      <w:rFonts w:ascii="Tahoma" w:hAnsi="Tahoma" w:cs="Times New Roman"/>
      <w:sz w:val="16"/>
      <w:lang w:eastAsia="en-US"/>
    </w:rPr>
  </w:style>
  <w:style w:type="table" w:customStyle="1" w:styleId="Tabela-Siatka1">
    <w:name w:val="Tabela - Siatka1"/>
    <w:uiPriority w:val="99"/>
    <w:rsid w:val="00EC1080"/>
    <w:pPr>
      <w:widowControl w:val="0"/>
    </w:pPr>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BB22EC"/>
    <w:pPr>
      <w:widowControl w:val="0"/>
    </w:pPr>
    <w:rPr>
      <w:rFonts w:ascii="Calibri" w:hAnsi="Calibri"/>
      <w:lang w:val="en-US" w:eastAsia="en-US"/>
    </w:rPr>
    <w:tblPr>
      <w:tblInd w:w="0" w:type="dxa"/>
      <w:tblCellMar>
        <w:top w:w="0" w:type="dxa"/>
        <w:left w:w="0" w:type="dxa"/>
        <w:bottom w:w="0" w:type="dxa"/>
        <w:right w:w="0" w:type="dxa"/>
      </w:tblCellMar>
    </w:tblPr>
  </w:style>
  <w:style w:type="table" w:customStyle="1" w:styleId="Tabela-Siatka2">
    <w:name w:val="Tabela - Siatka2"/>
    <w:uiPriority w:val="99"/>
    <w:rsid w:val="00BB22EC"/>
    <w:pPr>
      <w:widowControl w:val="0"/>
    </w:pPr>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Tekst przypisu,Footnote,Podrozdzia3,-E Fuﬂnotentext,Fuﬂnotentext Ursprung,Fußnotentext Ursprung,-E Fußnotentext,Footnote text,Tekst przypisu Znak Znak Znak Znak,Fußnote,fn,o"/>
    <w:basedOn w:val="Normalny"/>
    <w:link w:val="TekstprzypisudolnegoZnak"/>
    <w:uiPriority w:val="99"/>
    <w:rsid w:val="00457BC0"/>
    <w:rPr>
      <w:sz w:val="20"/>
      <w:lang w:eastAsia="pl-PL"/>
    </w:rPr>
  </w:style>
  <w:style w:type="character" w:customStyle="1" w:styleId="TekstprzypisudolnegoZnak">
    <w:name w:val="Tekst przypisu dolnego Znak"/>
    <w:aliases w:val="Podrozdział Znak,Tekst przypisu Znak,Footnote Znak,Podrozdzia3 Znak,-E Fuﬂnotentext Znak,Fuﬂnotentext Ursprung Znak,Fußnotentext Ursprung Znak,-E Fußnotentext Znak,Footnote text Znak,Tekst przypisu Znak Znak Znak Znak Znak"/>
    <w:basedOn w:val="Domylnaczcionkaakapitu"/>
    <w:link w:val="Tekstprzypisudolnego"/>
    <w:uiPriority w:val="99"/>
    <w:locked/>
    <w:rsid w:val="00457BC0"/>
    <w:rPr>
      <w:rFonts w:cs="Times New Roman"/>
    </w:rPr>
  </w:style>
  <w:style w:type="character" w:styleId="Odwoanieprzypisudolnego">
    <w:name w:val="footnote reference"/>
    <w:aliases w:val="Footnote Reference Number,Odwołanie przypisu,Footnote symbol,Footnote reference number,note TESI,SUPERS,EN Footnote Reference,Footnote Reference_LVL6,Footnote Reference_LVL61,Footnote Reference_LVL62,Footnote Reference_LVL63"/>
    <w:basedOn w:val="Domylnaczcionkaakapitu"/>
    <w:uiPriority w:val="99"/>
    <w:rsid w:val="00457BC0"/>
    <w:rPr>
      <w:rFonts w:cs="Times New Roman"/>
      <w:vertAlign w:val="superscript"/>
    </w:rPr>
  </w:style>
  <w:style w:type="paragraph" w:styleId="Tekstprzypisukocowego">
    <w:name w:val="endnote text"/>
    <w:basedOn w:val="Normalny"/>
    <w:link w:val="TekstprzypisukocowegoZnak"/>
    <w:uiPriority w:val="99"/>
    <w:rsid w:val="009064AD"/>
    <w:rPr>
      <w:sz w:val="20"/>
    </w:rPr>
  </w:style>
  <w:style w:type="character" w:customStyle="1" w:styleId="TekstprzypisukocowegoZnak">
    <w:name w:val="Tekst przypisu końcowego Znak"/>
    <w:basedOn w:val="Domylnaczcionkaakapitu"/>
    <w:link w:val="Tekstprzypisukocowego"/>
    <w:uiPriority w:val="99"/>
    <w:locked/>
    <w:rsid w:val="009064AD"/>
    <w:rPr>
      <w:rFonts w:eastAsia="Times New Roman" w:cs="Times New Roman"/>
      <w:lang w:eastAsia="en-US"/>
    </w:rPr>
  </w:style>
  <w:style w:type="character" w:styleId="Odwoanieprzypisukocowego">
    <w:name w:val="endnote reference"/>
    <w:basedOn w:val="Domylnaczcionkaakapitu"/>
    <w:uiPriority w:val="99"/>
    <w:rsid w:val="009064AD"/>
    <w:rPr>
      <w:rFonts w:cs="Times New Roman"/>
      <w:vertAlign w:val="superscript"/>
    </w:rPr>
  </w:style>
  <w:style w:type="character" w:styleId="Hipercze">
    <w:name w:val="Hyperlink"/>
    <w:basedOn w:val="Domylnaczcionkaakapitu"/>
    <w:uiPriority w:val="99"/>
    <w:locked/>
    <w:rsid w:val="000231F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93109">
      <w:bodyDiv w:val="1"/>
      <w:marLeft w:val="0"/>
      <w:marRight w:val="0"/>
      <w:marTop w:val="0"/>
      <w:marBottom w:val="0"/>
      <w:divBdr>
        <w:top w:val="none" w:sz="0" w:space="0" w:color="auto"/>
        <w:left w:val="none" w:sz="0" w:space="0" w:color="auto"/>
        <w:bottom w:val="none" w:sz="0" w:space="0" w:color="auto"/>
        <w:right w:val="none" w:sz="0" w:space="0" w:color="auto"/>
      </w:divBdr>
    </w:div>
    <w:div w:id="754324754">
      <w:bodyDiv w:val="1"/>
      <w:marLeft w:val="0"/>
      <w:marRight w:val="0"/>
      <w:marTop w:val="0"/>
      <w:marBottom w:val="0"/>
      <w:divBdr>
        <w:top w:val="none" w:sz="0" w:space="0" w:color="auto"/>
        <w:left w:val="none" w:sz="0" w:space="0" w:color="auto"/>
        <w:bottom w:val="none" w:sz="0" w:space="0" w:color="auto"/>
        <w:right w:val="none" w:sz="0" w:space="0" w:color="auto"/>
      </w:divBdr>
    </w:div>
    <w:div w:id="763842146">
      <w:bodyDiv w:val="1"/>
      <w:marLeft w:val="0"/>
      <w:marRight w:val="0"/>
      <w:marTop w:val="0"/>
      <w:marBottom w:val="0"/>
      <w:divBdr>
        <w:top w:val="none" w:sz="0" w:space="0" w:color="auto"/>
        <w:left w:val="none" w:sz="0" w:space="0" w:color="auto"/>
        <w:bottom w:val="none" w:sz="0" w:space="0" w:color="auto"/>
        <w:right w:val="none" w:sz="0" w:space="0" w:color="auto"/>
      </w:divBdr>
    </w:div>
    <w:div w:id="770900918">
      <w:bodyDiv w:val="1"/>
      <w:marLeft w:val="0"/>
      <w:marRight w:val="0"/>
      <w:marTop w:val="0"/>
      <w:marBottom w:val="0"/>
      <w:divBdr>
        <w:top w:val="none" w:sz="0" w:space="0" w:color="auto"/>
        <w:left w:val="none" w:sz="0" w:space="0" w:color="auto"/>
        <w:bottom w:val="none" w:sz="0" w:space="0" w:color="auto"/>
        <w:right w:val="none" w:sz="0" w:space="0" w:color="auto"/>
      </w:divBdr>
    </w:div>
    <w:div w:id="1191796196">
      <w:bodyDiv w:val="1"/>
      <w:marLeft w:val="0"/>
      <w:marRight w:val="0"/>
      <w:marTop w:val="0"/>
      <w:marBottom w:val="0"/>
      <w:divBdr>
        <w:top w:val="none" w:sz="0" w:space="0" w:color="auto"/>
        <w:left w:val="none" w:sz="0" w:space="0" w:color="auto"/>
        <w:bottom w:val="none" w:sz="0" w:space="0" w:color="auto"/>
        <w:right w:val="none" w:sz="0" w:space="0" w:color="auto"/>
      </w:divBdr>
    </w:div>
    <w:div w:id="1277983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jpeg"/><Relationship Id="rId5" Type="http://schemas.openxmlformats.org/officeDocument/2006/relationships/image" Target="media/image10.png"/><Relationship Id="rId4"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2959</Words>
  <Characters>21338</Characters>
  <Application>Microsoft Office Word</Application>
  <DocSecurity>0</DocSecurity>
  <Lines>177</Lines>
  <Paragraphs>48</Paragraphs>
  <ScaleCrop>false</ScaleCrop>
  <HeadingPairs>
    <vt:vector size="2" baseType="variant">
      <vt:variant>
        <vt:lpstr>Tytuł</vt:lpstr>
      </vt:variant>
      <vt:variant>
        <vt:i4>1</vt:i4>
      </vt:variant>
    </vt:vector>
  </HeadingPairs>
  <TitlesOfParts>
    <vt:vector size="1" baseType="lpstr">
      <vt:lpstr>Załącznik do ogłoszenia o konkursie</vt:lpstr>
    </vt:vector>
  </TitlesOfParts>
  <Company>MEiN-nauka</Company>
  <LinksUpToDate>false</LinksUpToDate>
  <CharactersWithSpaces>24249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ogłoszenia o konkursie</dc:title>
  <dc:creator>Piotr Zieliński</dc:creator>
  <cp:lastModifiedBy>Administrator</cp:lastModifiedBy>
  <cp:revision>7</cp:revision>
  <cp:lastPrinted>2019-02-11T10:15:00Z</cp:lastPrinted>
  <dcterms:created xsi:type="dcterms:W3CDTF">2019-04-23T06:10:00Z</dcterms:created>
  <dcterms:modified xsi:type="dcterms:W3CDTF">2019-05-20T06:50:00Z</dcterms:modified>
</cp:coreProperties>
</file>